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8EFD">
      <w:pPr>
        <w:rPr>
          <w:rFonts w:hint="eastAsia"/>
          <w:color w:val="000000" w:themeColor="text1"/>
          <w:highlight w:val="none"/>
          <w14:textFill>
            <w14:solidFill>
              <w14:schemeClr w14:val="tx1"/>
            </w14:solidFill>
          </w14:textFill>
        </w:rPr>
      </w:pPr>
      <w:bookmarkStart w:id="0" w:name="OLE_LINK1"/>
    </w:p>
    <w:p w14:paraId="3102AEE1">
      <w:pPr>
        <w:keepNext w:val="0"/>
        <w:keepLines w:val="0"/>
        <w:pageBreakBefore w:val="0"/>
        <w:widowControl w:val="0"/>
        <w:kinsoku/>
        <w:wordWrap/>
        <w:overflowPunct/>
        <w:topLinePunct w:val="0"/>
        <w:autoSpaceDE/>
        <w:autoSpaceDN/>
        <w:bidi w:val="0"/>
        <w:adjustRightInd/>
        <w:snapToGrid w:val="0"/>
        <w:spacing w:before="313" w:beforeLines="100" w:after="313" w:afterLines="100" w:line="800" w:lineRule="exact"/>
        <w:jc w:val="center"/>
        <w:textAlignment w:val="auto"/>
        <w:rPr>
          <w:rFonts w:hint="default" w:eastAsia="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b/>
          <w:bCs/>
          <w:color w:val="000000" w:themeColor="text1"/>
          <w:w w:val="85"/>
          <w:sz w:val="48"/>
          <w:szCs w:val="48"/>
          <w:highlight w:val="none"/>
          <w14:textFill>
            <w14:solidFill>
              <w14:schemeClr w14:val="tx1"/>
            </w14:solidFill>
          </w14:textFill>
        </w:rPr>
        <w:t>滁州市军粮供应站有限公司车辆定点保险项目</w:t>
      </w:r>
      <w:r>
        <w:rPr>
          <w:rFonts w:hint="eastAsia" w:ascii="宋体" w:hAnsi="宋体" w:cs="宋体"/>
          <w:b/>
          <w:bCs/>
          <w:color w:val="000000" w:themeColor="text1"/>
          <w:w w:val="85"/>
          <w:sz w:val="48"/>
          <w:szCs w:val="48"/>
          <w:highlight w:val="none"/>
          <w:lang w:eastAsia="zh-CN"/>
          <w14:textFill>
            <w14:solidFill>
              <w14:schemeClr w14:val="tx1"/>
            </w14:solidFill>
          </w14:textFill>
        </w:rPr>
        <w:t>（</w:t>
      </w:r>
      <w:r>
        <w:rPr>
          <w:rFonts w:hint="eastAsia" w:ascii="宋体" w:hAnsi="宋体" w:cs="宋体"/>
          <w:b/>
          <w:bCs/>
          <w:color w:val="000000" w:themeColor="text1"/>
          <w:w w:val="85"/>
          <w:sz w:val="48"/>
          <w:szCs w:val="48"/>
          <w:highlight w:val="none"/>
          <w:lang w:val="en-US" w:eastAsia="zh-CN"/>
          <w14:textFill>
            <w14:solidFill>
              <w14:schemeClr w14:val="tx1"/>
            </w14:solidFill>
          </w14:textFill>
        </w:rPr>
        <w:t>二次）</w:t>
      </w:r>
    </w:p>
    <w:p w14:paraId="75346B9D">
      <w:pPr>
        <w:spacing w:after="156" w:afterLines="50"/>
        <w:ind w:left="-850" w:leftChars="-405" w:right="-625"/>
        <w:jc w:val="center"/>
        <w:rPr>
          <w:rFonts w:hint="eastAsia"/>
          <w:color w:val="000000" w:themeColor="text1"/>
          <w:sz w:val="24"/>
          <w:highlight w:val="none"/>
          <w14:textFill>
            <w14:solidFill>
              <w14:schemeClr w14:val="tx1"/>
            </w14:solidFill>
          </w14:textFill>
        </w:rPr>
      </w:pPr>
    </w:p>
    <w:p w14:paraId="5B3F2512">
      <w:pPr>
        <w:rPr>
          <w:rFonts w:hint="eastAsia" w:ascii="宋体"/>
          <w:bCs/>
          <w:color w:val="000000" w:themeColor="text1"/>
          <w:szCs w:val="21"/>
          <w:highlight w:val="none"/>
          <w14:textFill>
            <w14:solidFill>
              <w14:schemeClr w14:val="tx1"/>
            </w14:solidFill>
          </w14:textFill>
        </w:rPr>
      </w:pPr>
    </w:p>
    <w:p w14:paraId="3975FF69">
      <w:pPr>
        <w:rPr>
          <w:rFonts w:hint="eastAsia" w:ascii="宋体"/>
          <w:bCs/>
          <w:color w:val="000000" w:themeColor="text1"/>
          <w:szCs w:val="21"/>
          <w:highlight w:val="none"/>
          <w14:textFill>
            <w14:solidFill>
              <w14:schemeClr w14:val="tx1"/>
            </w14:solidFill>
          </w14:textFill>
        </w:rPr>
      </w:pPr>
    </w:p>
    <w:p w14:paraId="66796547">
      <w:pPr>
        <w:spacing w:line="360" w:lineRule="auto"/>
        <w:jc w:val="center"/>
        <w:rPr>
          <w:rFonts w:hint="eastAsia" w:ascii="宋体" w:hAnsi="宋体" w:cs="宋体"/>
          <w:bCs/>
          <w:color w:val="000000" w:themeColor="text1"/>
          <w:sz w:val="96"/>
          <w:szCs w:val="96"/>
          <w:highlight w:val="none"/>
          <w14:textFill>
            <w14:solidFill>
              <w14:schemeClr w14:val="tx1"/>
            </w14:solidFill>
          </w14:textFill>
        </w:rPr>
      </w:pPr>
      <w:r>
        <w:rPr>
          <w:rFonts w:hint="eastAsia" w:ascii="宋体" w:hAnsi="宋体" w:cs="宋体"/>
          <w:b/>
          <w:color w:val="000000" w:themeColor="text1"/>
          <w:sz w:val="96"/>
          <w:szCs w:val="96"/>
          <w:highlight w:val="none"/>
          <w14:textFill>
            <w14:solidFill>
              <w14:schemeClr w14:val="tx1"/>
            </w14:solidFill>
          </w14:textFill>
        </w:rPr>
        <w:t>招 标 文 件</w:t>
      </w:r>
    </w:p>
    <w:p w14:paraId="4DF0B417">
      <w:pPr>
        <w:rPr>
          <w:rFonts w:hint="eastAsia" w:ascii="宋体" w:hAnsi="宋体"/>
          <w:b/>
          <w:color w:val="000000" w:themeColor="text1"/>
          <w:sz w:val="84"/>
          <w:szCs w:val="84"/>
          <w:highlight w:val="none"/>
          <w14:textFill>
            <w14:solidFill>
              <w14:schemeClr w14:val="tx1"/>
            </w14:solidFill>
          </w14:textFill>
        </w:rPr>
      </w:pPr>
    </w:p>
    <w:p w14:paraId="454AC2BD">
      <w:pPr>
        <w:pStyle w:val="36"/>
        <w:rPr>
          <w:rFonts w:hint="eastAsia"/>
          <w:color w:val="000000" w:themeColor="text1"/>
          <w:highlight w:val="none"/>
          <w14:textFill>
            <w14:solidFill>
              <w14:schemeClr w14:val="tx1"/>
            </w14:solidFill>
          </w14:textFill>
        </w:rPr>
      </w:pPr>
    </w:p>
    <w:p w14:paraId="2B4B50AE">
      <w:pPr>
        <w:rPr>
          <w:rFonts w:hint="eastAsia"/>
          <w:color w:val="000000" w:themeColor="text1"/>
          <w:highlight w:val="none"/>
          <w14:textFill>
            <w14:solidFill>
              <w14:schemeClr w14:val="tx1"/>
            </w14:solidFill>
          </w14:textFill>
        </w:rPr>
      </w:pPr>
    </w:p>
    <w:p w14:paraId="0A043D06">
      <w:pPr>
        <w:rPr>
          <w:rFonts w:hint="eastAsia" w:ascii="宋体"/>
          <w:color w:val="000000" w:themeColor="text1"/>
          <w:sz w:val="28"/>
          <w:szCs w:val="28"/>
          <w:highlight w:val="none"/>
          <w14:textFill>
            <w14:solidFill>
              <w14:schemeClr w14:val="tx1"/>
            </w14:solidFill>
          </w14:textFill>
        </w:rPr>
      </w:pPr>
    </w:p>
    <w:p w14:paraId="4F2646BA">
      <w:pPr>
        <w:pStyle w:val="24"/>
        <w:rPr>
          <w:rFonts w:hint="eastAsia"/>
          <w:color w:val="000000" w:themeColor="text1"/>
          <w:highlight w:val="none"/>
          <w14:textFill>
            <w14:solidFill>
              <w14:schemeClr w14:val="tx1"/>
            </w14:solidFill>
          </w14:textFill>
        </w:rPr>
      </w:pPr>
    </w:p>
    <w:p w14:paraId="4898C502">
      <w:pPr>
        <w:rPr>
          <w:rFonts w:hint="eastAsia" w:ascii="宋体"/>
          <w:b/>
          <w:color w:val="000000" w:themeColor="text1"/>
          <w:sz w:val="32"/>
          <w:szCs w:val="32"/>
          <w:highlight w:val="none"/>
          <w14:textFill>
            <w14:solidFill>
              <w14:schemeClr w14:val="tx1"/>
            </w14:solidFill>
          </w14:textFill>
        </w:rPr>
      </w:pPr>
    </w:p>
    <w:p w14:paraId="6E98E7EC">
      <w:pPr>
        <w:pStyle w:val="36"/>
        <w:rPr>
          <w:rFonts w:hint="eastAsia"/>
          <w:color w:val="000000" w:themeColor="text1"/>
          <w:highlight w:val="none"/>
          <w14:textFill>
            <w14:solidFill>
              <w14:schemeClr w14:val="tx1"/>
            </w14:solidFill>
          </w14:textFill>
        </w:rPr>
      </w:pPr>
    </w:p>
    <w:p w14:paraId="610B6BE1">
      <w:pPr>
        <w:pStyle w:val="30"/>
        <w:rPr>
          <w:rFonts w:hint="eastAsia"/>
          <w:color w:val="000000" w:themeColor="text1"/>
          <w:highlight w:val="none"/>
          <w14:textFill>
            <w14:solidFill>
              <w14:schemeClr w14:val="tx1"/>
            </w14:solidFill>
          </w14:textFill>
        </w:rPr>
      </w:pPr>
    </w:p>
    <w:p w14:paraId="4D216C92">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w:t>
      </w:r>
      <w:r>
        <w:rPr>
          <w:rFonts w:hint="eastAsia" w:ascii="宋体"/>
          <w:b/>
          <w:color w:val="000000" w:themeColor="text1"/>
          <w:sz w:val="32"/>
          <w:szCs w:val="32"/>
          <w:highlight w:val="none"/>
          <w14:textFill>
            <w14:solidFill>
              <w14:schemeClr w14:val="tx1"/>
            </w14:solidFill>
          </w14:textFill>
        </w:rPr>
        <w:t xml:space="preserve">   </w:t>
      </w:r>
      <w:r>
        <w:rPr>
          <w:rFonts w:hint="eastAsia" w:ascii="宋体"/>
          <w:b/>
          <w:color w:val="000000" w:themeColor="text1"/>
          <w:sz w:val="32"/>
          <w:szCs w:val="32"/>
          <w:highlight w:val="none"/>
          <w:lang w:val="en-US" w:eastAsia="zh-CN"/>
          <w14:textFill>
            <w14:solidFill>
              <w14:schemeClr w14:val="tx1"/>
            </w14:solidFill>
          </w14:textFill>
        </w:rPr>
        <w:t>标</w:t>
      </w:r>
      <w:r>
        <w:rPr>
          <w:rFonts w:hint="eastAsia" w:ascii="宋体"/>
          <w:b/>
          <w:color w:val="000000" w:themeColor="text1"/>
          <w:sz w:val="32"/>
          <w:szCs w:val="32"/>
          <w:highlight w:val="none"/>
          <w14:textFill>
            <w14:solidFill>
              <w14:schemeClr w14:val="tx1"/>
            </w14:solidFill>
          </w14:textFill>
        </w:rPr>
        <w:t xml:space="preserve">   人：</w:t>
      </w:r>
      <w:r>
        <w:rPr>
          <w:rFonts w:hint="eastAsia" w:ascii="宋体"/>
          <w:b/>
          <w:color w:val="000000" w:themeColor="text1"/>
          <w:sz w:val="32"/>
          <w:szCs w:val="32"/>
          <w:highlight w:val="none"/>
          <w:u w:val="single"/>
          <w:lang w:val="en-US" w:eastAsia="zh-CN"/>
          <w14:textFill>
            <w14:solidFill>
              <w14:schemeClr w14:val="tx1"/>
            </w14:solidFill>
          </w14:textFill>
        </w:rPr>
        <w:t>滁州市军粮供应站有限公司</w:t>
      </w:r>
      <w:r>
        <w:rPr>
          <w:rFonts w:hint="eastAsia" w:ascii="宋体"/>
          <w:b/>
          <w:color w:val="000000" w:themeColor="text1"/>
          <w:sz w:val="32"/>
          <w:szCs w:val="32"/>
          <w:highlight w:val="none"/>
          <w14:textFill>
            <w14:solidFill>
              <w14:schemeClr w14:val="tx1"/>
            </w14:solidFill>
          </w14:textFill>
        </w:rPr>
        <w:t>（盖单位章）</w:t>
      </w:r>
    </w:p>
    <w:p w14:paraId="44C1C13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000000" w:themeColor="text1"/>
          <w:sz w:val="32"/>
          <w:szCs w:val="32"/>
          <w:highlight w:val="none"/>
          <w:u w:val="singl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招标</w:t>
      </w:r>
      <w:r>
        <w:rPr>
          <w:rFonts w:hint="eastAsia" w:ascii="宋体"/>
          <w:b/>
          <w:color w:val="000000" w:themeColor="text1"/>
          <w:sz w:val="32"/>
          <w:szCs w:val="32"/>
          <w:highlight w:val="none"/>
          <w14:textFill>
            <w14:solidFill>
              <w14:schemeClr w14:val="tx1"/>
            </w14:solidFill>
          </w14:textFill>
        </w:rPr>
        <w:t>代理机构：</w:t>
      </w:r>
      <w:r>
        <w:rPr>
          <w:rFonts w:hint="eastAsia" w:ascii="宋体"/>
          <w:b/>
          <w:color w:val="000000" w:themeColor="text1"/>
          <w:sz w:val="32"/>
          <w:szCs w:val="32"/>
          <w:highlight w:val="none"/>
          <w:u w:val="single"/>
          <w:lang w:eastAsia="zh-CN"/>
          <w14:textFill>
            <w14:solidFill>
              <w14:schemeClr w14:val="tx1"/>
            </w14:solidFill>
          </w14:textFill>
        </w:rPr>
        <w:t>滁州市城投工程咨询管理有限公司</w:t>
      </w:r>
      <w:r>
        <w:rPr>
          <w:rFonts w:hint="eastAsia" w:ascii="宋体"/>
          <w:b/>
          <w:color w:val="000000" w:themeColor="text1"/>
          <w:sz w:val="32"/>
          <w:szCs w:val="32"/>
          <w:highlight w:val="none"/>
          <w14:textFill>
            <w14:solidFill>
              <w14:schemeClr w14:val="tx1"/>
            </w14:solidFill>
          </w14:textFill>
        </w:rPr>
        <w:t>（盖单位章）</w:t>
      </w:r>
    </w:p>
    <w:p w14:paraId="14684A3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u w:val="single"/>
          <w14:textFill>
            <w14:solidFill>
              <w14:schemeClr w14:val="tx1"/>
            </w14:solidFill>
          </w14:textFill>
        </w:rPr>
        <w:t>202</w:t>
      </w:r>
      <w:r>
        <w:rPr>
          <w:rFonts w:hint="eastAsia" w:ascii="宋体"/>
          <w:b/>
          <w:color w:val="000000" w:themeColor="text1"/>
          <w:sz w:val="32"/>
          <w:szCs w:val="32"/>
          <w:highlight w:val="none"/>
          <w:u w:val="single"/>
          <w:lang w:val="en-US" w:eastAsia="zh-CN"/>
          <w14:textFill>
            <w14:solidFill>
              <w14:schemeClr w14:val="tx1"/>
            </w14:solidFill>
          </w14:textFill>
        </w:rPr>
        <w:t>5</w:t>
      </w:r>
      <w:r>
        <w:rPr>
          <w:rFonts w:hint="eastAsia" w:ascii="宋体"/>
          <w:b/>
          <w:color w:val="000000" w:themeColor="text1"/>
          <w:sz w:val="32"/>
          <w:szCs w:val="32"/>
          <w:highlight w:val="none"/>
          <w14:textFill>
            <w14:solidFill>
              <w14:schemeClr w14:val="tx1"/>
            </w14:solidFill>
          </w14:textFill>
        </w:rPr>
        <w:t>年</w:t>
      </w:r>
      <w:r>
        <w:rPr>
          <w:rFonts w:hint="eastAsia" w:ascii="宋体"/>
          <w:b/>
          <w:color w:val="000000" w:themeColor="text1"/>
          <w:sz w:val="32"/>
          <w:szCs w:val="32"/>
          <w:highlight w:val="none"/>
          <w:u w:val="single"/>
          <w:lang w:val="en-US" w:eastAsia="zh-CN"/>
          <w14:textFill>
            <w14:solidFill>
              <w14:schemeClr w14:val="tx1"/>
            </w14:solidFill>
          </w14:textFill>
        </w:rPr>
        <w:t>10</w:t>
      </w:r>
      <w:r>
        <w:rPr>
          <w:rFonts w:hint="eastAsia" w:ascii="宋体"/>
          <w:b/>
          <w:color w:val="000000" w:themeColor="text1"/>
          <w:sz w:val="32"/>
          <w:szCs w:val="32"/>
          <w:highlight w:val="none"/>
          <w14:textFill>
            <w14:solidFill>
              <w14:schemeClr w14:val="tx1"/>
            </w14:solidFill>
          </w14:textFill>
        </w:rPr>
        <w:t>月</w:t>
      </w:r>
    </w:p>
    <w:p w14:paraId="5A5EBCBA">
      <w:pPr>
        <w:spacing w:line="360" w:lineRule="exact"/>
        <w:rPr>
          <w:rFonts w:hint="eastAsia"/>
          <w:b/>
          <w:color w:val="000000" w:themeColor="text1"/>
          <w:sz w:val="36"/>
          <w:highlight w:val="none"/>
          <w14:textFill>
            <w14:solidFill>
              <w14:schemeClr w14:val="tx1"/>
            </w14:solidFill>
          </w14:textFill>
        </w:rPr>
      </w:pPr>
    </w:p>
    <w:p w14:paraId="71163863">
      <w:pPr>
        <w:spacing w:line="360" w:lineRule="exact"/>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br w:type="page"/>
      </w:r>
    </w:p>
    <w:p w14:paraId="646F9755">
      <w:pPr>
        <w:spacing w:line="360" w:lineRule="exact"/>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目  录</w:t>
      </w:r>
    </w:p>
    <w:p w14:paraId="41D795BE">
      <w:pPr>
        <w:spacing w:line="360" w:lineRule="exact"/>
        <w:jc w:val="center"/>
        <w:rPr>
          <w:rFonts w:hint="eastAsia"/>
          <w:b/>
          <w:color w:val="000000" w:themeColor="text1"/>
          <w:sz w:val="36"/>
          <w:highlight w:val="none"/>
          <w14:textFill>
            <w14:solidFill>
              <w14:schemeClr w14:val="tx1"/>
            </w14:solidFill>
          </w14:textFill>
        </w:rPr>
      </w:pPr>
    </w:p>
    <w:p w14:paraId="7CF45282">
      <w:pPr>
        <w:pStyle w:val="28"/>
        <w:tabs>
          <w:tab w:val="right" w:leader="dot" w:pos="8296"/>
        </w:tabs>
        <w:spacing w:before="156" w:beforeLines="50" w:after="156" w:afterLines="50" w:line="500" w:lineRule="exact"/>
        <w:rPr>
          <w:rFonts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TOC \o "1-3" \h \z \u </w:instrText>
      </w:r>
      <w:r>
        <w:rPr>
          <w:rFonts w:hint="eastAsia" w:ascii="宋体" w:hAnsi="宋体" w:cs="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fldChar w:fldCharType="begin"/>
      </w:r>
      <w:r>
        <w:rPr>
          <w:rStyle w:val="48"/>
          <w:rFonts w:ascii="宋体" w:hAnsi="宋体"/>
          <w:color w:val="000000" w:themeColor="text1"/>
          <w:sz w:val="24"/>
          <w:highlight w:val="none"/>
          <w14:textFill>
            <w14:solidFill>
              <w14:schemeClr w14:val="tx1"/>
            </w14:solidFill>
          </w14:textFill>
        </w:rPr>
        <w:instrText xml:space="preserve"> </w:instrText>
      </w:r>
      <w:r>
        <w:rPr>
          <w:rFonts w:ascii="宋体" w:hAnsi="宋体"/>
          <w:color w:val="000000" w:themeColor="text1"/>
          <w:sz w:val="24"/>
          <w:highlight w:val="none"/>
          <w14:textFill>
            <w14:solidFill>
              <w14:schemeClr w14:val="tx1"/>
            </w14:solidFill>
          </w14:textFill>
        </w:rPr>
        <w:instrText xml:space="preserve">HYPERLINK \l "_Toc58430304"</w:instrText>
      </w:r>
      <w:r>
        <w:rPr>
          <w:rStyle w:val="48"/>
          <w:rFonts w:ascii="宋体" w:hAnsi="宋体"/>
          <w:color w:val="000000" w:themeColor="text1"/>
          <w:sz w:val="24"/>
          <w:highlight w:val="none"/>
          <w14:textFill>
            <w14:solidFill>
              <w14:schemeClr w14:val="tx1"/>
            </w14:solidFill>
          </w14:textFill>
        </w:rPr>
        <w:instrText xml:space="preserve"> </w:instrText>
      </w:r>
      <w:r>
        <w:rPr>
          <w:rFonts w:ascii="宋体" w:hAnsi="宋体"/>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第一章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lang w:val="en-US" w:eastAsia="zh-CN"/>
          <w14:textFill>
            <w14:solidFill>
              <w14:schemeClr w14:val="tx1"/>
            </w14:solidFill>
          </w14:textFill>
        </w:rPr>
        <w:t>招标公告</w:t>
      </w:r>
      <w:r>
        <w:rPr>
          <w:rFonts w:ascii="宋体" w:hAnsi="宋体"/>
          <w:b/>
          <w:color w:val="000000" w:themeColor="text1"/>
          <w:sz w:val="24"/>
          <w:highlight w:val="none"/>
          <w14:textFill>
            <w14:solidFill>
              <w14:schemeClr w14:val="tx1"/>
            </w14:solidFill>
          </w14:textFill>
        </w:rPr>
        <w:tab/>
      </w:r>
      <w:r>
        <w:rPr>
          <w:rFonts w:hint="eastAsia" w:ascii="宋体" w:hAnsi="宋体"/>
          <w:b/>
          <w:color w:val="000000" w:themeColor="text1"/>
          <w:sz w:val="24"/>
          <w:highlight w:val="none"/>
          <w:lang w:val="en-US" w:eastAsia="zh-CN"/>
          <w14:textFill>
            <w14:solidFill>
              <w14:schemeClr w14:val="tx1"/>
            </w14:solidFill>
          </w14:textFill>
        </w:rPr>
        <w:t>1</w:t>
      </w:r>
      <w:r>
        <w:rPr>
          <w:rFonts w:ascii="宋体" w:hAnsi="宋体"/>
          <w:b/>
          <w:color w:val="000000" w:themeColor="text1"/>
          <w:sz w:val="24"/>
          <w:highlight w:val="none"/>
          <w14:textFill>
            <w14:solidFill>
              <w14:schemeClr w14:val="tx1"/>
            </w14:solidFill>
          </w14:textFill>
        </w:rPr>
        <w:fldChar w:fldCharType="end"/>
      </w:r>
    </w:p>
    <w:p w14:paraId="0CF1839A">
      <w:pPr>
        <w:pStyle w:val="28"/>
        <w:tabs>
          <w:tab w:val="right" w:leader="dot" w:pos="8296"/>
        </w:tabs>
        <w:spacing w:before="156" w:beforeLines="50" w:after="156" w:afterLines="50" w:line="500" w:lineRule="exact"/>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"_Toc58430313"</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第二章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投标人须知</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4</w:t>
      </w:r>
    </w:p>
    <w:p w14:paraId="36CBB0FA">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"_Toc58430316"</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第三章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评标办法（综合评分法）</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18</w:t>
      </w:r>
    </w:p>
    <w:p w14:paraId="05B8D3E4">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"_Toc58430328"</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第四章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采购需求</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23</w:t>
      </w:r>
    </w:p>
    <w:p w14:paraId="015E87B1">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第五章 合同格式（参考）</w:t>
      </w:r>
      <w:r>
        <w:rPr>
          <w:rFonts w:ascii="宋体" w:hAnsi="宋体"/>
          <w:b/>
          <w:color w:val="000000" w:themeColor="text1"/>
          <w:sz w:val="24"/>
          <w:highlight w:val="none"/>
          <w14:textFill>
            <w14:solidFill>
              <w14:schemeClr w14:val="tx1"/>
            </w14:solidFill>
          </w14:textFill>
        </w:rPr>
        <w:tab/>
      </w:r>
      <w:r>
        <w:rPr>
          <w:rFonts w:hint="eastAsia" w:ascii="宋体" w:hAnsi="宋体"/>
          <w:b/>
          <w:color w:val="000000" w:themeColor="text1"/>
          <w:sz w:val="24"/>
          <w:highlight w:val="none"/>
          <w:lang w:val="en-US" w:eastAsia="zh-CN"/>
          <w14:textFill>
            <w14:solidFill>
              <w14:schemeClr w14:val="tx1"/>
            </w14:solidFill>
          </w14:textFill>
        </w:rPr>
        <w:t>26</w:t>
      </w:r>
    </w:p>
    <w:p w14:paraId="27292367">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"_Toc58430332"</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w:t>
      </w:r>
      <w:r>
        <w:rPr>
          <w:rStyle w:val="48"/>
          <w:rFonts w:hint="eastAsia" w:ascii="宋体" w:hAnsi="宋体"/>
          <w:b/>
          <w:color w:val="000000" w:themeColor="text1"/>
          <w:sz w:val="24"/>
          <w:highlight w:val="none"/>
          <w:lang w:val="en-US" w:eastAsia="zh-CN"/>
          <w14:textFill>
            <w14:solidFill>
              <w14:schemeClr w14:val="tx1"/>
            </w14:solidFill>
          </w14:textFill>
        </w:rPr>
        <w:t>六</w:t>
      </w:r>
      <w:r>
        <w:rPr>
          <w:rStyle w:val="48"/>
          <w:rFonts w:hint="eastAsia" w:ascii="宋体" w:hAnsi="宋体"/>
          <w:b/>
          <w:color w:val="000000" w:themeColor="text1"/>
          <w:sz w:val="24"/>
          <w:highlight w:val="none"/>
          <w14:textFill>
            <w14:solidFill>
              <w14:schemeClr w14:val="tx1"/>
            </w14:solidFill>
          </w14:textFill>
        </w:rPr>
        <w:t>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投标文件格式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32</w:t>
      </w:r>
    </w:p>
    <w:p w14:paraId="160017E2">
      <w:pPr>
        <w:pStyle w:val="28"/>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000000" w:themeColor="text1"/>
          <w:sz w:val="24"/>
          <w:highlight w:val="none"/>
          <w14:textFill>
            <w14:solidFill>
              <w14:schemeClr w14:val="tx1"/>
            </w14:solidFill>
          </w14:textFill>
        </w:rPr>
        <w:fldChar w:fldCharType="end"/>
      </w:r>
    </w:p>
    <w:p w14:paraId="11EDBE1A">
      <w:pPr>
        <w:spacing w:before="156" w:beforeLines="50" w:after="156" w:afterLines="50" w:line="600" w:lineRule="exact"/>
        <w:jc w:val="center"/>
        <w:outlineLvl w:val="0"/>
        <w:rPr>
          <w:rFonts w:hint="default" w:ascii="宋体" w:eastAsia="宋体"/>
          <w:b/>
          <w:color w:val="000000" w:themeColor="text1"/>
          <w:sz w:val="32"/>
          <w:szCs w:val="32"/>
          <w:highlight w:val="none"/>
          <w:lang w:val="en-US" w:eastAsia="zh-CN"/>
          <w14:textFill>
            <w14:solidFill>
              <w14:schemeClr w14:val="tx1"/>
            </w14:solidFill>
          </w14:textFill>
        </w:rPr>
      </w:pPr>
      <w:bookmarkStart w:id="1" w:name="_Toc58430304"/>
      <w:r>
        <w:rPr>
          <w:rFonts w:hint="eastAsia" w:ascii="宋体"/>
          <w:b/>
          <w:color w:val="000000" w:themeColor="text1"/>
          <w:sz w:val="32"/>
          <w:szCs w:val="32"/>
          <w:highlight w:val="none"/>
          <w14:textFill>
            <w14:solidFill>
              <w14:schemeClr w14:val="tx1"/>
            </w14:solidFill>
          </w14:textFill>
        </w:rPr>
        <w:t xml:space="preserve">第一章  </w:t>
      </w:r>
      <w:bookmarkEnd w:id="1"/>
      <w:r>
        <w:rPr>
          <w:rFonts w:hint="eastAsia" w:ascii="宋体"/>
          <w:b/>
          <w:color w:val="000000" w:themeColor="text1"/>
          <w:sz w:val="32"/>
          <w:szCs w:val="32"/>
          <w:highlight w:val="none"/>
          <w:lang w:val="en-US" w:eastAsia="zh-CN"/>
          <w14:textFill>
            <w14:solidFill>
              <w14:schemeClr w14:val="tx1"/>
            </w14:solidFill>
          </w14:textFill>
        </w:rPr>
        <w:t>招标公告</w:t>
      </w:r>
    </w:p>
    <w:p w14:paraId="3545CFDD">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bookmarkStart w:id="2" w:name="_Toc58430313"/>
      <w:r>
        <w:rPr>
          <w:rFonts w:hint="eastAsia" w:ascii="仿宋" w:hAnsi="仿宋" w:eastAsia="仿宋" w:cs="仿宋"/>
          <w:color w:val="000000" w:themeColor="text1"/>
          <w:sz w:val="28"/>
          <w:szCs w:val="28"/>
          <w:highlight w:val="none"/>
          <w14:textFill>
            <w14:solidFill>
              <w14:schemeClr w14:val="tx1"/>
            </w14:solidFill>
          </w14:textFill>
        </w:rPr>
        <w:t>项目概况</w:t>
      </w:r>
    </w:p>
    <w:p w14:paraId="2CDD145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滁州市军粮供应站有限公司车辆定点保险项目（二次） </w:t>
      </w:r>
      <w:r>
        <w:rPr>
          <w:rFonts w:hint="eastAsia" w:ascii="仿宋" w:hAnsi="仿宋" w:eastAsia="仿宋" w:cs="仿宋"/>
          <w:color w:val="000000" w:themeColor="text1"/>
          <w:sz w:val="28"/>
          <w:szCs w:val="28"/>
          <w:highlight w:val="none"/>
          <w:u w:val="none"/>
          <w14:textFill>
            <w14:solidFill>
              <w14:schemeClr w14:val="tx1"/>
            </w14:solidFill>
          </w14:textFill>
        </w:rPr>
        <w:t>招标项目</w:t>
      </w:r>
      <w:r>
        <w:rPr>
          <w:rFonts w:hint="eastAsia" w:ascii="仿宋" w:hAnsi="仿宋" w:eastAsia="仿宋" w:cs="仿宋"/>
          <w:color w:val="000000" w:themeColor="text1"/>
          <w:sz w:val="28"/>
          <w:szCs w:val="28"/>
          <w:highlight w:val="none"/>
          <w14:textFill>
            <w14:solidFill>
              <w14:schemeClr w14:val="tx1"/>
            </w14:solidFill>
          </w14:textFill>
        </w:rPr>
        <w:t>的潜在投标人应在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滁州市扬子工业投资集团有限公司官网（https://czyzgtjt.com/）</w:t>
      </w:r>
      <w:r>
        <w:rPr>
          <w:rFonts w:hint="eastAsia" w:ascii="仿宋" w:hAnsi="仿宋" w:eastAsia="仿宋" w:cs="仿宋"/>
          <w:color w:val="000000" w:themeColor="text1"/>
          <w:sz w:val="28"/>
          <w:szCs w:val="28"/>
          <w:highlight w:val="none"/>
          <w14:textFill>
            <w14:solidFill>
              <w14:schemeClr w14:val="tx1"/>
            </w14:solidFill>
          </w14:textFill>
        </w:rPr>
        <w:t>获取招标文件，并于</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15 </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u w:val="singl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（北京时间）前递交投标文件。</w:t>
      </w:r>
    </w:p>
    <w:p w14:paraId="585B2F5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一、项目基本情况</w:t>
      </w:r>
    </w:p>
    <w:p w14:paraId="54BA8521">
      <w:pPr>
        <w:ind w:firstLine="560" w:firstLineChars="200"/>
        <w:rPr>
          <w:rFonts w:hint="default"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项目名称：</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滁州市军粮供应站有限公司车辆定点保险项目（二次）</w:t>
      </w:r>
    </w:p>
    <w:p w14:paraId="2D06523C">
      <w:pPr>
        <w:ind w:firstLine="560" w:firstLineChars="200"/>
        <w:rPr>
          <w:rFonts w:hint="default"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预算金额：</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约7万元</w:t>
      </w:r>
    </w:p>
    <w:p w14:paraId="52DCA986">
      <w:pPr>
        <w:ind w:firstLine="560" w:firstLineChars="200"/>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最高限价：承保机构商业险自主定价系数不得超过1.35(135%)</w:t>
      </w:r>
    </w:p>
    <w:p w14:paraId="0D44EA05">
      <w:pPr>
        <w:spacing w:before="0" w:beforeLines="0" w:line="240" w:lineRule="auto"/>
        <w:ind w:firstLine="560" w:firstLineChars="200"/>
        <w:rPr>
          <w:rFonts w:hint="default"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采购需求：车辆定点保险服务</w:t>
      </w:r>
    </w:p>
    <w:p w14:paraId="26C11FD0">
      <w:pPr>
        <w:ind w:firstLine="560" w:firstLineChars="200"/>
        <w:rPr>
          <w:rFonts w:hint="eastAsia" w:ascii="仿宋" w:hAnsi="仿宋" w:eastAsia="仿宋" w:cs="仿宋"/>
          <w:color w:val="000000" w:themeColor="text1"/>
          <w:sz w:val="28"/>
          <w:szCs w:val="28"/>
          <w:highlight w:val="yellow"/>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合同履行期限：自合同签订之日起</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一年。</w:t>
      </w:r>
    </w:p>
    <w:p w14:paraId="1F109278">
      <w:pPr>
        <w:ind w:firstLine="560" w:firstLineChars="200"/>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本项目</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不</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接受联合体投标</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p>
    <w:p w14:paraId="17E7DFC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3" w:name="_Toc35393622"/>
      <w:bookmarkStart w:id="4" w:name="_Toc35393791"/>
      <w:bookmarkStart w:id="5" w:name="_Toc28359003"/>
      <w:bookmarkStart w:id="6" w:name="_Toc28359080"/>
      <w:r>
        <w:rPr>
          <w:rFonts w:hint="eastAsia" w:ascii="黑体" w:hAnsi="黑体" w:eastAsia="黑体" w:cs="黑体"/>
          <w:color w:val="000000" w:themeColor="text1"/>
          <w:sz w:val="28"/>
          <w:szCs w:val="28"/>
          <w:highlight w:val="none"/>
          <w14:textFill>
            <w14:solidFill>
              <w14:schemeClr w14:val="tx1"/>
            </w14:solidFill>
          </w14:textFill>
        </w:rPr>
        <w:t>二、申请人的资格要求</w:t>
      </w:r>
      <w:bookmarkEnd w:id="3"/>
      <w:bookmarkEnd w:id="4"/>
      <w:bookmarkEnd w:id="5"/>
      <w:bookmarkEnd w:id="6"/>
    </w:p>
    <w:p w14:paraId="7F0F0817">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bookmarkStart w:id="7" w:name="_Toc28359004"/>
      <w:bookmarkStart w:id="8" w:name="_Toc28359081"/>
      <w:bookmarkStart w:id="9" w:name="_Toc35393623"/>
      <w:bookmarkStart w:id="10" w:name="_Toc35393792"/>
      <w:r>
        <w:rPr>
          <w:rFonts w:hint="eastAsia" w:ascii="仿宋" w:hAnsi="仿宋" w:eastAsia="仿宋"/>
          <w:color w:val="000000" w:themeColor="text1"/>
          <w:sz w:val="28"/>
          <w:szCs w:val="28"/>
          <w:highlight w:val="none"/>
          <w14:textFill>
            <w14:solidFill>
              <w14:schemeClr w14:val="tx1"/>
            </w14:solidFill>
          </w14:textFill>
        </w:rPr>
        <w:t>1.投标人须为经中国保险监督管理委员会批准具备经营本项目保险资格的保险公司市级分公司或中心支公司</w:t>
      </w:r>
      <w:r>
        <w:rPr>
          <w:rFonts w:hint="eastAsia" w:ascii="仿宋" w:hAnsi="仿宋" w:eastAsia="仿宋"/>
          <w:color w:val="000000" w:themeColor="text1"/>
          <w:sz w:val="28"/>
          <w:szCs w:val="28"/>
          <w:highlight w:val="none"/>
          <w:lang w:eastAsia="zh-CN"/>
          <w14:textFill>
            <w14:solidFill>
              <w14:schemeClr w14:val="tx1"/>
            </w14:solidFill>
          </w14:textFill>
        </w:rPr>
        <w:t>；</w:t>
      </w:r>
    </w:p>
    <w:p w14:paraId="158E14EE">
      <w:pPr>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2.具有市级分公司或中心支公司经营保险业务许可证；</w:t>
      </w:r>
    </w:p>
    <w:p w14:paraId="56CB864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三、获取招标文件</w:t>
      </w:r>
      <w:bookmarkEnd w:id="7"/>
      <w:bookmarkEnd w:id="8"/>
      <w:bookmarkEnd w:id="9"/>
      <w:bookmarkEnd w:id="10"/>
    </w:p>
    <w:p w14:paraId="240C4FB5">
      <w:pPr>
        <w:ind w:firstLine="540"/>
        <w:rPr>
          <w:rFonts w:hint="default" w:ascii="仿宋" w:hAnsi="仿宋" w:eastAsia="仿宋" w:cs="宋体"/>
          <w:color w:val="000000" w:themeColor="text1"/>
          <w:sz w:val="28"/>
          <w:szCs w:val="28"/>
          <w:highlight w:val="none"/>
          <w:u w:val="single"/>
          <w:lang w:val="en-U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2025年</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日至2025年</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日</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时</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分</w:t>
      </w:r>
    </w:p>
    <w:p w14:paraId="49CE042D">
      <w:pPr>
        <w:ind w:firstLine="540"/>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方式：网上下载</w:t>
      </w:r>
    </w:p>
    <w:p w14:paraId="73BC1C06">
      <w:pPr>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售价：0元</w:t>
      </w:r>
    </w:p>
    <w:p w14:paraId="58C7EEC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11" w:name="_Toc28359005"/>
      <w:bookmarkStart w:id="12" w:name="_Toc28359082"/>
      <w:bookmarkStart w:id="13" w:name="_Toc35393624"/>
      <w:bookmarkStart w:id="14" w:name="_Toc35393793"/>
      <w:r>
        <w:rPr>
          <w:rFonts w:hint="eastAsia" w:ascii="黑体" w:hAnsi="黑体" w:eastAsia="黑体" w:cs="黑体"/>
          <w:color w:val="000000" w:themeColor="text1"/>
          <w:sz w:val="28"/>
          <w:szCs w:val="28"/>
          <w:highlight w:val="none"/>
          <w14:textFill>
            <w14:solidFill>
              <w14:schemeClr w14:val="tx1"/>
            </w14:solidFill>
          </w14:textFill>
        </w:rPr>
        <w:t>四、提交投标文件</w:t>
      </w:r>
      <w:bookmarkEnd w:id="11"/>
      <w:bookmarkEnd w:id="12"/>
      <w:r>
        <w:rPr>
          <w:rFonts w:hint="eastAsia" w:ascii="黑体" w:hAnsi="黑体" w:eastAsia="黑体" w:cs="黑体"/>
          <w:color w:val="000000" w:themeColor="text1"/>
          <w:sz w:val="28"/>
          <w:szCs w:val="28"/>
          <w:highlight w:val="none"/>
          <w14:textFill>
            <w14:solidFill>
              <w14:schemeClr w14:val="tx1"/>
            </w14:solidFill>
          </w14:textFill>
        </w:rPr>
        <w:t>截止时间、开标时间和地点</w:t>
      </w:r>
      <w:bookmarkEnd w:id="13"/>
      <w:bookmarkEnd w:id="14"/>
    </w:p>
    <w:p w14:paraId="76284AC0">
      <w:pPr>
        <w:ind w:firstLine="540"/>
        <w:rPr>
          <w:rFonts w:hint="eastAsia"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时间：</w:t>
      </w:r>
      <w:r>
        <w:rPr>
          <w:rFonts w:hint="eastAsia" w:ascii="仿宋" w:hAnsi="仿宋" w:eastAsia="仿宋" w:cs="宋体"/>
          <w:color w:val="000000" w:themeColor="text1"/>
          <w:sz w:val="28"/>
          <w:szCs w:val="28"/>
          <w:highlight w:val="none"/>
          <w14:textFill>
            <w14:solidFill>
              <w14:schemeClr w14:val="tx1"/>
            </w14:solidFill>
          </w14:textFill>
        </w:rPr>
        <w:t>202</w:t>
      </w:r>
      <w:r>
        <w:rPr>
          <w:rFonts w:hint="eastAsia" w:ascii="仿宋" w:hAnsi="仿宋" w:eastAsia="仿宋" w:cs="宋体"/>
          <w:color w:val="000000" w:themeColor="text1"/>
          <w:sz w:val="28"/>
          <w:szCs w:val="28"/>
          <w:highlight w:val="none"/>
          <w:lang w:val="en-US" w:eastAsia="zh-CN"/>
          <w14:textFill>
            <w14:solidFill>
              <w14:schemeClr w14:val="tx1"/>
            </w14:solidFill>
          </w14:textFill>
        </w:rPr>
        <w:t>5</w:t>
      </w:r>
      <w:r>
        <w:rPr>
          <w:rFonts w:hint="eastAsia" w:ascii="仿宋" w:hAnsi="仿宋" w:eastAsia="仿宋" w:cs="宋体"/>
          <w:color w:val="000000" w:themeColor="text1"/>
          <w:sz w:val="28"/>
          <w:szCs w:val="28"/>
          <w:highlight w:val="none"/>
          <w14:textFill>
            <w14:solidFill>
              <w14:schemeClr w14:val="tx1"/>
            </w14:solidFill>
          </w14:textFill>
        </w:rPr>
        <w:t>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日</w:t>
      </w:r>
      <w:r>
        <w:rPr>
          <w:rFonts w:hint="eastAsia" w:ascii="仿宋" w:hAnsi="仿宋" w:eastAsia="仿宋" w:cs="宋体"/>
          <w:color w:val="000000" w:themeColor="text1"/>
          <w:sz w:val="28"/>
          <w:szCs w:val="28"/>
          <w:highlight w:val="none"/>
          <w:lang w:val="en-US" w:eastAsia="zh-CN"/>
          <w14:textFill>
            <w14:solidFill>
              <w14:schemeClr w14:val="tx1"/>
            </w14:solidFill>
          </w14:textFill>
        </w:rPr>
        <w:t>15</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00</w:t>
      </w:r>
      <w:r>
        <w:rPr>
          <w:rFonts w:hint="eastAsia" w:ascii="仿宋" w:hAnsi="仿宋" w:eastAsia="仿宋" w:cs="宋体"/>
          <w:color w:val="000000" w:themeColor="text1"/>
          <w:sz w:val="28"/>
          <w:szCs w:val="28"/>
          <w:highlight w:val="none"/>
          <w14:textFill>
            <w14:solidFill>
              <w14:schemeClr w14:val="tx1"/>
            </w14:solidFill>
          </w14:textFill>
        </w:rPr>
        <w:t>分</w:t>
      </w:r>
    </w:p>
    <w:p w14:paraId="3AAA6073">
      <w:pPr>
        <w:ind w:firstLine="540"/>
        <w:rPr>
          <w:rFonts w:hint="eastAsia"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地点：</w:t>
      </w:r>
      <w:r>
        <w:rPr>
          <w:rFonts w:hint="eastAsia" w:ascii="仿宋" w:hAnsi="仿宋" w:eastAsia="仿宋" w:cs="宋体"/>
          <w:color w:val="000000" w:themeColor="text1"/>
          <w:sz w:val="28"/>
          <w:szCs w:val="28"/>
          <w:highlight w:val="none"/>
          <w:lang w:val="en-US" w:eastAsia="zh-CN"/>
          <w14:textFill>
            <w14:solidFill>
              <w14:schemeClr w14:val="tx1"/>
            </w14:solidFill>
          </w14:textFill>
        </w:rPr>
        <w:t>滁州市城投工程咨询管理有限公司603会议室（滁州市南谯区龙蟠大道109号房产大厦六楼）</w:t>
      </w:r>
    </w:p>
    <w:p w14:paraId="32F1878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五</w:t>
      </w:r>
      <w:r>
        <w:rPr>
          <w:rFonts w:hint="eastAsia" w:ascii="黑体" w:hAnsi="黑体" w:eastAsia="黑体" w:cs="黑体"/>
          <w:color w:val="000000" w:themeColor="text1"/>
          <w:sz w:val="28"/>
          <w:szCs w:val="28"/>
          <w:highlight w:val="none"/>
          <w14:textFill>
            <w14:solidFill>
              <w14:schemeClr w14:val="tx1"/>
            </w14:solidFill>
          </w14:textFill>
        </w:rPr>
        <w:t>、投标保证金金额及缴纳账户</w:t>
      </w:r>
    </w:p>
    <w:p w14:paraId="4D56E9B2">
      <w:pPr>
        <w:pStyle w:val="130"/>
        <w:rPr>
          <w:color w:val="000000" w:themeColor="text1"/>
          <w:highlight w:val="none"/>
          <w14:textFill>
            <w14:solidFill>
              <w14:schemeClr w14:val="tx1"/>
            </w14:solidFill>
          </w14:textFill>
        </w:rPr>
      </w:pPr>
      <w:bookmarkStart w:id="15" w:name="_Toc35393795"/>
      <w:bookmarkStart w:id="16" w:name="_Toc35393626"/>
      <w:r>
        <w:rPr>
          <w:color w:val="000000" w:themeColor="text1"/>
          <w:highlight w:val="none"/>
          <w14:textFill>
            <w14:solidFill>
              <w14:schemeClr w14:val="tx1"/>
            </w14:solidFill>
          </w14:textFill>
        </w:rPr>
        <w:t>窗体顶端</w:t>
      </w:r>
    </w:p>
    <w:p w14:paraId="1E3A71CE">
      <w:pPr>
        <w:ind w:firstLine="560"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不要求投标人提交投标保证金。</w:t>
      </w:r>
      <w:bookmarkEnd w:id="15"/>
      <w:bookmarkEnd w:id="16"/>
    </w:p>
    <w:p w14:paraId="739C196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color w:val="000000" w:themeColor="text1"/>
          <w:sz w:val="28"/>
          <w:szCs w:val="28"/>
          <w:highlight w:val="none"/>
          <w14:textFill>
            <w14:solidFill>
              <w14:schemeClr w14:val="tx1"/>
            </w14:solidFill>
          </w14:textFill>
        </w:rPr>
        <w:t>公告发布期限</w:t>
      </w:r>
    </w:p>
    <w:p w14:paraId="4C8C4E73">
      <w:pPr>
        <w:ind w:firstLine="560" w:firstLineChars="200"/>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自本公告发布之日起至投标截止时间止。</w:t>
      </w:r>
    </w:p>
    <w:p w14:paraId="5C0E03A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color w:val="000000" w:themeColor="text1"/>
          <w:sz w:val="28"/>
          <w:szCs w:val="28"/>
          <w:highlight w:val="none"/>
          <w14:textFill>
            <w14:solidFill>
              <w14:schemeClr w14:val="tx1"/>
            </w14:solidFill>
          </w14:textFill>
        </w:rPr>
        <w:t>、对本次招标提出询问，请按以下方式联系</w:t>
      </w:r>
    </w:p>
    <w:p w14:paraId="00E2201B">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　1.招标人信息</w:t>
      </w:r>
    </w:p>
    <w:p w14:paraId="15FC428B">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滁州市军粮供应站有限公司</w:t>
      </w:r>
    </w:p>
    <w:p w14:paraId="55CE62D5">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安徽省滁州市苏州北路379号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769FF50A">
      <w:pPr>
        <w:ind w:firstLine="560" w:firstLineChars="200"/>
        <w:jc w:val="left"/>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15375026152 </w:t>
      </w:r>
    </w:p>
    <w:p w14:paraId="6C2069E7">
      <w:pPr>
        <w:pStyle w:val="36"/>
        <w:ind w:left="0" w:leftChars="0" w:firstLine="560" w:firstLineChars="200"/>
        <w:rPr>
          <w:rFonts w:hint="default"/>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监督电话：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0550-3017855</w:t>
      </w:r>
    </w:p>
    <w:p w14:paraId="07B572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2.代理机构信息</w:t>
      </w:r>
    </w:p>
    <w:p w14:paraId="5E0614A3">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u w:val="single"/>
          <w14:textFill>
            <w14:solidFill>
              <w14:schemeClr w14:val="tx1"/>
            </w14:solidFill>
          </w14:textFill>
        </w:rPr>
        <w:t>滁州市城投工程咨询管理有限公司</w:t>
      </w:r>
    </w:p>
    <w:p w14:paraId="4FB0259B">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14:textFill>
            <w14:solidFill>
              <w14:schemeClr w14:val="tx1"/>
            </w14:solidFill>
          </w14:textFill>
        </w:rPr>
        <w:t>滁州市龙蟠大道109号房产大厦6楼</w:t>
      </w:r>
    </w:p>
    <w:p w14:paraId="151802B5">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u w:val="single"/>
          <w14:textFill>
            <w14:solidFill>
              <w14:schemeClr w14:val="tx1"/>
            </w14:solidFill>
          </w14:textFill>
        </w:rPr>
        <w:t>0550-3519590、18005501210</w:t>
      </w:r>
    </w:p>
    <w:p w14:paraId="13BAF074">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3.项目联系方式</w:t>
      </w:r>
    </w:p>
    <w:p w14:paraId="16E3DA23">
      <w:pPr>
        <w:pStyle w:val="21"/>
        <w:ind w:left="-199" w:leftChars="-95" w:firstLine="840" w:firstLineChars="300"/>
        <w:jc w:val="left"/>
        <w:rPr>
          <w:rFonts w:hint="eastAsia" w:ascii="仿宋" w:hAnsi="仿宋" w:eastAsia="仿宋" w:cs="仿宋"/>
          <w:color w:val="000000" w:themeColor="text1"/>
          <w:sz w:val="28"/>
          <w:szCs w:val="28"/>
          <w:highlight w:val="none"/>
          <w:u w:val="single" w:color="auto"/>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color w:val="000000" w:themeColor="text1"/>
          <w:sz w:val="28"/>
          <w:szCs w:val="28"/>
          <w:highlight w:val="none"/>
          <w:u w:val="single" w:color="auto"/>
          <w:lang w:val="en-US" w:eastAsia="zh-CN"/>
          <w14:textFill>
            <w14:solidFill>
              <w14:schemeClr w14:val="tx1"/>
            </w14:solidFill>
          </w14:textFill>
        </w:rPr>
        <w:t>钟庆阳、</w:t>
      </w:r>
      <w:r>
        <w:rPr>
          <w:rFonts w:hint="eastAsia" w:ascii="仿宋" w:hAnsi="仿宋" w:eastAsia="仿宋" w:cs="仿宋"/>
          <w:color w:val="000000" w:themeColor="text1"/>
          <w:sz w:val="28"/>
          <w:szCs w:val="28"/>
          <w:highlight w:val="none"/>
          <w:u w:val="single" w:color="auto"/>
          <w14:textFill>
            <w14:solidFill>
              <w14:schemeClr w14:val="tx1"/>
            </w14:solidFill>
          </w14:textFill>
        </w:rPr>
        <w:t>杨韦</w:t>
      </w:r>
    </w:p>
    <w:p w14:paraId="34A7C39D">
      <w:pPr>
        <w:ind w:left="-199" w:leftChars="-95" w:firstLine="840" w:firstLineChars="300"/>
        <w:jc w:val="lef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r>
        <w:rPr>
          <w:rFonts w:hint="eastAsia" w:ascii="仿宋" w:hAnsi="仿宋" w:eastAsia="仿宋" w:cs="仿宋"/>
          <w:color w:val="000000" w:themeColor="text1"/>
          <w:sz w:val="28"/>
          <w:szCs w:val="28"/>
          <w:highlight w:val="none"/>
          <w:u w:val="single" w:color="auto"/>
          <w:lang w:val="en-US" w:eastAsia="zh-CN"/>
          <w14:textFill>
            <w14:solidFill>
              <w14:schemeClr w14:val="tx1"/>
            </w14:solidFill>
          </w14:textFill>
        </w:rPr>
        <w:t>15375026152 、</w:t>
      </w:r>
      <w:r>
        <w:rPr>
          <w:rFonts w:hint="eastAsia" w:ascii="仿宋" w:hAnsi="仿宋" w:eastAsia="仿宋" w:cs="仿宋"/>
          <w:color w:val="000000" w:themeColor="text1"/>
          <w:sz w:val="28"/>
          <w:szCs w:val="28"/>
          <w:highlight w:val="none"/>
          <w:u w:val="single" w:color="auto"/>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 xml:space="preserve">550-3519590 </w:t>
      </w:r>
    </w:p>
    <w:p w14:paraId="10E9FD09">
      <w:pPr>
        <w:spacing w:before="156" w:beforeLines="50" w:after="156" w:afterLines="50"/>
        <w:ind w:firstLine="643" w:firstLineChars="200"/>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第二章 投标人须知</w:t>
      </w:r>
      <w:bookmarkEnd w:id="2"/>
    </w:p>
    <w:p w14:paraId="35E6B667">
      <w:pPr>
        <w:snapToGrid w:val="0"/>
        <w:spacing w:line="500" w:lineRule="exact"/>
        <w:jc w:val="center"/>
        <w:outlineLvl w:val="1"/>
        <w:rPr>
          <w:rFonts w:hint="eastAsia" w:ascii="宋体"/>
          <w:b/>
          <w:color w:val="000000" w:themeColor="text1"/>
          <w:sz w:val="28"/>
          <w:szCs w:val="28"/>
          <w:highlight w:val="none"/>
          <w14:textFill>
            <w14:solidFill>
              <w14:schemeClr w14:val="tx1"/>
            </w14:solidFill>
          </w14:textFill>
        </w:rPr>
      </w:pPr>
      <w:bookmarkStart w:id="17" w:name="_Toc449028865"/>
      <w:bookmarkStart w:id="18" w:name="_Toc58430314"/>
      <w:r>
        <w:rPr>
          <w:rFonts w:hint="eastAsia" w:ascii="宋体"/>
          <w:b/>
          <w:color w:val="000000" w:themeColor="text1"/>
          <w:sz w:val="32"/>
          <w:szCs w:val="32"/>
          <w:highlight w:val="none"/>
          <w14:textFill>
            <w14:solidFill>
              <w14:schemeClr w14:val="tx1"/>
            </w14:solidFill>
          </w14:textFill>
        </w:rPr>
        <w:t>一、</w:t>
      </w:r>
      <w:r>
        <w:rPr>
          <w:rFonts w:hint="eastAsia" w:ascii="宋体"/>
          <w:b/>
          <w:color w:val="000000" w:themeColor="text1"/>
          <w:sz w:val="28"/>
          <w:szCs w:val="28"/>
          <w:highlight w:val="none"/>
          <w14:textFill>
            <w14:solidFill>
              <w14:schemeClr w14:val="tx1"/>
            </w14:solidFill>
          </w14:textFill>
        </w:rPr>
        <w:t>投标人须知前附表</w:t>
      </w:r>
      <w:bookmarkEnd w:id="17"/>
      <w:bookmarkEnd w:id="18"/>
    </w:p>
    <w:tbl>
      <w:tblPr>
        <w:tblStyle w:val="37"/>
        <w:tblW w:w="96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8"/>
        <w:gridCol w:w="1575"/>
        <w:gridCol w:w="7395"/>
      </w:tblGrid>
      <w:tr w14:paraId="706E0C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38" w:type="dxa"/>
            <w:noWrap w:val="0"/>
            <w:vAlign w:val="center"/>
          </w:tcPr>
          <w:p w14:paraId="1A3509D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序号</w:t>
            </w:r>
          </w:p>
        </w:tc>
        <w:tc>
          <w:tcPr>
            <w:tcW w:w="1575" w:type="dxa"/>
            <w:noWrap w:val="0"/>
            <w:vAlign w:val="center"/>
          </w:tcPr>
          <w:p w14:paraId="7BA5539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w:t>
            </w:r>
          </w:p>
        </w:tc>
        <w:tc>
          <w:tcPr>
            <w:tcW w:w="7395" w:type="dxa"/>
            <w:noWrap w:val="0"/>
            <w:vAlign w:val="center"/>
          </w:tcPr>
          <w:p w14:paraId="59DDC3F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说明与要求</w:t>
            </w:r>
          </w:p>
        </w:tc>
      </w:tr>
      <w:tr w14:paraId="2B4DAF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38" w:type="dxa"/>
            <w:noWrap w:val="0"/>
            <w:vAlign w:val="center"/>
          </w:tcPr>
          <w:p w14:paraId="6318A9A0">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75" w:type="dxa"/>
            <w:noWrap w:val="0"/>
            <w:vAlign w:val="center"/>
          </w:tcPr>
          <w:p w14:paraId="2CA371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7395" w:type="dxa"/>
            <w:noWrap w:val="0"/>
            <w:vAlign w:val="center"/>
          </w:tcPr>
          <w:p w14:paraId="524A5409">
            <w:pPr>
              <w:pStyle w:val="21"/>
              <w:keepNext w:val="0"/>
              <w:keepLines w:val="0"/>
              <w:pageBreakBefore w:val="0"/>
              <w:kinsoku/>
              <w:overflowPunct/>
              <w:topLinePunct w:val="0"/>
              <w:autoSpaceDE/>
              <w:autoSpaceDN/>
              <w:bidi w:val="0"/>
              <w:adjustRightInd/>
              <w:spacing w:line="5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滁州市军粮供应站有限公司车辆定点保险项目</w:t>
            </w:r>
            <w:r>
              <w:rPr>
                <w:rFonts w:hint="eastAsia" w:hAnsi="宋体" w:cs="宋体"/>
                <w:color w:val="000000" w:themeColor="text1"/>
                <w:sz w:val="21"/>
                <w:szCs w:val="21"/>
                <w:highlight w:val="none"/>
                <w:lang w:val="en-US" w:eastAsia="zh-CN"/>
                <w14:textFill>
                  <w14:solidFill>
                    <w14:schemeClr w14:val="tx1"/>
                  </w14:solidFill>
                </w14:textFill>
              </w:rPr>
              <w:t>（二次）</w:t>
            </w:r>
          </w:p>
        </w:tc>
      </w:tr>
      <w:tr w14:paraId="465BC3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638" w:type="dxa"/>
            <w:noWrap w:val="0"/>
            <w:vAlign w:val="center"/>
          </w:tcPr>
          <w:p w14:paraId="73295DA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75" w:type="dxa"/>
            <w:noWrap w:val="0"/>
            <w:vAlign w:val="center"/>
          </w:tcPr>
          <w:p w14:paraId="221F67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w:t>
            </w:r>
          </w:p>
        </w:tc>
        <w:tc>
          <w:tcPr>
            <w:tcW w:w="7395" w:type="dxa"/>
            <w:noWrap w:val="0"/>
            <w:vAlign w:val="center"/>
          </w:tcPr>
          <w:p w14:paraId="643C3D70">
            <w:pPr>
              <w:pStyle w:val="24"/>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自合同签订之日起</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78E37B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638" w:type="dxa"/>
            <w:noWrap w:val="0"/>
            <w:vAlign w:val="center"/>
          </w:tcPr>
          <w:p w14:paraId="2CE19DC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75" w:type="dxa"/>
            <w:noWrap w:val="0"/>
            <w:vAlign w:val="center"/>
          </w:tcPr>
          <w:p w14:paraId="67A9646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地点</w:t>
            </w:r>
          </w:p>
        </w:tc>
        <w:tc>
          <w:tcPr>
            <w:tcW w:w="7395" w:type="dxa"/>
            <w:noWrap w:val="0"/>
            <w:vAlign w:val="center"/>
          </w:tcPr>
          <w:p w14:paraId="71EEC963">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指定地点</w:t>
            </w:r>
          </w:p>
        </w:tc>
      </w:tr>
      <w:tr w14:paraId="7F4B4E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38" w:type="dxa"/>
            <w:noWrap w:val="0"/>
            <w:vAlign w:val="center"/>
          </w:tcPr>
          <w:p w14:paraId="50E43DD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75" w:type="dxa"/>
            <w:noWrap w:val="0"/>
            <w:vAlign w:val="center"/>
          </w:tcPr>
          <w:p w14:paraId="5B610DF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联系人及电话</w:t>
            </w:r>
          </w:p>
        </w:tc>
        <w:tc>
          <w:tcPr>
            <w:tcW w:w="7395" w:type="dxa"/>
            <w:noWrap w:val="0"/>
            <w:vAlign w:val="center"/>
          </w:tcPr>
          <w:p w14:paraId="2B3A019D">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钟庆阳</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val="en-US" w:eastAsia="zh-CN"/>
                <w14:textFill>
                  <w14:solidFill>
                    <w14:schemeClr w14:val="tx1"/>
                  </w14:solidFill>
                </w14:textFill>
              </w:rPr>
              <w:t>15375026152</w:t>
            </w:r>
          </w:p>
        </w:tc>
      </w:tr>
      <w:tr w14:paraId="7F9E7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38" w:type="dxa"/>
            <w:noWrap w:val="0"/>
            <w:vAlign w:val="center"/>
          </w:tcPr>
          <w:p w14:paraId="33E688F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75" w:type="dxa"/>
            <w:noWrap w:val="0"/>
            <w:vAlign w:val="center"/>
          </w:tcPr>
          <w:p w14:paraId="41D596D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采购代理机构联系人及电话</w:t>
            </w:r>
          </w:p>
        </w:tc>
        <w:tc>
          <w:tcPr>
            <w:tcW w:w="7395" w:type="dxa"/>
            <w:noWrap w:val="0"/>
            <w:vAlign w:val="center"/>
          </w:tcPr>
          <w:p w14:paraId="6377567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联系人：杨韦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电话0550-30519590、18005501210</w:t>
            </w:r>
          </w:p>
        </w:tc>
      </w:tr>
      <w:tr w14:paraId="27D4BB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38" w:type="dxa"/>
            <w:noWrap w:val="0"/>
            <w:vAlign w:val="center"/>
          </w:tcPr>
          <w:p w14:paraId="3F82ED0A">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75" w:type="dxa"/>
            <w:noWrap w:val="0"/>
            <w:vAlign w:val="center"/>
          </w:tcPr>
          <w:p w14:paraId="3968C9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资金来源                                                                                                                                                                 </w:t>
            </w:r>
          </w:p>
        </w:tc>
        <w:tc>
          <w:tcPr>
            <w:tcW w:w="7395" w:type="dxa"/>
            <w:noWrap w:val="0"/>
            <w:vAlign w:val="center"/>
          </w:tcPr>
          <w:p w14:paraId="74A942F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自筹资金</w:t>
            </w:r>
          </w:p>
        </w:tc>
      </w:tr>
      <w:tr w14:paraId="5BC09B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38" w:type="dxa"/>
            <w:noWrap w:val="0"/>
            <w:vAlign w:val="center"/>
          </w:tcPr>
          <w:p w14:paraId="20C9780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75" w:type="dxa"/>
            <w:noWrap w:val="0"/>
            <w:vAlign w:val="center"/>
          </w:tcPr>
          <w:p w14:paraId="54D288A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w:t>
            </w:r>
          </w:p>
        </w:tc>
        <w:tc>
          <w:tcPr>
            <w:tcW w:w="7395" w:type="dxa"/>
            <w:noWrap w:val="0"/>
            <w:vAlign w:val="center"/>
          </w:tcPr>
          <w:p w14:paraId="7F9AA5A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约</w:t>
            </w:r>
            <w:r>
              <w:rPr>
                <w:rFonts w:hint="eastAsia" w:hAnsi="宋体" w:cs="宋体"/>
                <w:color w:val="000000" w:themeColor="text1"/>
                <w:sz w:val="21"/>
                <w:szCs w:val="21"/>
                <w:highlight w:val="none"/>
                <w:lang w:val="en-US" w:eastAsia="zh-CN"/>
                <w14:textFill>
                  <w14:solidFill>
                    <w14:schemeClr w14:val="tx1"/>
                  </w14:solidFill>
                </w14:textFill>
              </w:rPr>
              <w:t>70000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00458A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273745C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75" w:type="dxa"/>
            <w:noWrap w:val="0"/>
            <w:vAlign w:val="center"/>
          </w:tcPr>
          <w:p w14:paraId="439D781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7395" w:type="dxa"/>
            <w:noWrap w:val="0"/>
            <w:vAlign w:val="center"/>
          </w:tcPr>
          <w:p w14:paraId="644B641F">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承保机构商业险自主定价系数不得超过1.35(135%)；商业险自主定价系数报价高于最高投标限价的，否决其投标。</w:t>
            </w:r>
          </w:p>
        </w:tc>
      </w:tr>
      <w:tr w14:paraId="61945A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61F6093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575" w:type="dxa"/>
            <w:noWrap w:val="0"/>
            <w:vAlign w:val="center"/>
          </w:tcPr>
          <w:p w14:paraId="398E18B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w:t>
            </w:r>
          </w:p>
        </w:tc>
        <w:tc>
          <w:tcPr>
            <w:tcW w:w="7395" w:type="dxa"/>
            <w:noWrap w:val="0"/>
            <w:vAlign w:val="center"/>
          </w:tcPr>
          <w:p w14:paraId="27879C6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本项目采购内容包括：详见《采购需求》</w:t>
            </w:r>
          </w:p>
        </w:tc>
      </w:tr>
      <w:tr w14:paraId="1B15F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38" w:type="dxa"/>
            <w:noWrap w:val="0"/>
            <w:vAlign w:val="center"/>
          </w:tcPr>
          <w:p w14:paraId="79998D5D">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575" w:type="dxa"/>
            <w:noWrap w:val="0"/>
            <w:vAlign w:val="center"/>
          </w:tcPr>
          <w:p w14:paraId="5CDEBF6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标包划分</w:t>
            </w:r>
          </w:p>
        </w:tc>
        <w:tc>
          <w:tcPr>
            <w:tcW w:w="7395" w:type="dxa"/>
            <w:noWrap w:val="0"/>
            <w:vAlign w:val="center"/>
          </w:tcPr>
          <w:p w14:paraId="23CBC51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本项目划分为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color w:val="000000" w:themeColor="text1"/>
                <w:sz w:val="21"/>
                <w:szCs w:val="21"/>
                <w:highlight w:val="none"/>
                <w14:textFill>
                  <w14:solidFill>
                    <w14:schemeClr w14:val="tx1"/>
                  </w14:solidFill>
                </w14:textFill>
              </w:rPr>
              <w:t>个标包</w:t>
            </w:r>
          </w:p>
        </w:tc>
      </w:tr>
      <w:tr w14:paraId="7D1220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38" w:type="dxa"/>
            <w:noWrap w:val="0"/>
            <w:vAlign w:val="center"/>
          </w:tcPr>
          <w:p w14:paraId="36FF8F54">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575" w:type="dxa"/>
            <w:noWrap w:val="0"/>
            <w:vAlign w:val="center"/>
          </w:tcPr>
          <w:p w14:paraId="481A039E">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招标方式</w:t>
            </w:r>
          </w:p>
        </w:tc>
        <w:tc>
          <w:tcPr>
            <w:tcW w:w="7395" w:type="dxa"/>
            <w:noWrap w:val="0"/>
            <w:vAlign w:val="center"/>
          </w:tcPr>
          <w:p w14:paraId="46460C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公开招标</w:t>
            </w:r>
          </w:p>
        </w:tc>
      </w:tr>
      <w:tr w14:paraId="2AF0CE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638" w:type="dxa"/>
            <w:noWrap w:val="0"/>
            <w:vAlign w:val="center"/>
          </w:tcPr>
          <w:p w14:paraId="767A5398">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575" w:type="dxa"/>
            <w:noWrap w:val="0"/>
            <w:vAlign w:val="center"/>
          </w:tcPr>
          <w:p w14:paraId="56AC511D">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投标人资格条件及其他要求</w:t>
            </w:r>
          </w:p>
        </w:tc>
        <w:tc>
          <w:tcPr>
            <w:tcW w:w="7395" w:type="dxa"/>
            <w:noWrap w:val="0"/>
            <w:vAlign w:val="center"/>
          </w:tcPr>
          <w:p w14:paraId="28E125F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详见第一章“招标公告”</w:t>
            </w:r>
          </w:p>
        </w:tc>
      </w:tr>
      <w:tr w14:paraId="725914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EE1DDAF">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575" w:type="dxa"/>
            <w:noWrap w:val="0"/>
            <w:vAlign w:val="center"/>
          </w:tcPr>
          <w:p w14:paraId="152037C7">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踏勘现场</w:t>
            </w:r>
          </w:p>
        </w:tc>
        <w:tc>
          <w:tcPr>
            <w:tcW w:w="7395" w:type="dxa"/>
            <w:noWrap w:val="0"/>
            <w:vAlign w:val="center"/>
          </w:tcPr>
          <w:p w14:paraId="795FC84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不组织,投标人自行踏勘现场</w:t>
            </w:r>
          </w:p>
        </w:tc>
      </w:tr>
      <w:tr w14:paraId="08D77F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DCD0D0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575" w:type="dxa"/>
            <w:noWrap w:val="0"/>
            <w:vAlign w:val="center"/>
          </w:tcPr>
          <w:p w14:paraId="2F735089">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投标预备会</w:t>
            </w:r>
          </w:p>
        </w:tc>
        <w:tc>
          <w:tcPr>
            <w:tcW w:w="7395" w:type="dxa"/>
            <w:noWrap w:val="0"/>
            <w:vAlign w:val="center"/>
          </w:tcPr>
          <w:p w14:paraId="637A846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不召开</w:t>
            </w:r>
          </w:p>
        </w:tc>
      </w:tr>
      <w:tr w14:paraId="27C80B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638" w:type="dxa"/>
            <w:noWrap w:val="0"/>
            <w:vAlign w:val="center"/>
          </w:tcPr>
          <w:p w14:paraId="6FB2E08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575" w:type="dxa"/>
            <w:noWrap w:val="0"/>
            <w:vAlign w:val="center"/>
          </w:tcPr>
          <w:p w14:paraId="6958E0E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联合体投标</w:t>
            </w:r>
          </w:p>
        </w:tc>
        <w:tc>
          <w:tcPr>
            <w:tcW w:w="7395" w:type="dxa"/>
            <w:noWrap w:val="0"/>
            <w:vAlign w:val="center"/>
          </w:tcPr>
          <w:p w14:paraId="54E6AF09">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详见第一章“招标公告”</w:t>
            </w:r>
          </w:p>
        </w:tc>
      </w:tr>
      <w:tr w14:paraId="646585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38" w:type="dxa"/>
            <w:noWrap w:val="0"/>
            <w:vAlign w:val="center"/>
          </w:tcPr>
          <w:p w14:paraId="5A15E81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575" w:type="dxa"/>
            <w:noWrap w:val="0"/>
            <w:vAlign w:val="center"/>
          </w:tcPr>
          <w:p w14:paraId="127CBEB6">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及其他费用</w:t>
            </w:r>
          </w:p>
        </w:tc>
        <w:tc>
          <w:tcPr>
            <w:tcW w:w="7395" w:type="dxa"/>
            <w:noWrap w:val="0"/>
            <w:vAlign w:val="center"/>
          </w:tcPr>
          <w:p w14:paraId="0DE9D36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代理服务费金额：</w:t>
            </w:r>
            <w:r>
              <w:rPr>
                <w:rFonts w:hint="eastAsia" w:ascii="宋体" w:hAnsi="宋体" w:cs="宋体"/>
                <w:color w:val="000000" w:themeColor="text1"/>
                <w:sz w:val="21"/>
                <w:szCs w:val="21"/>
                <w:highlight w:val="none"/>
                <w:lang w:val="en-US" w:eastAsia="zh-CN"/>
                <w14:textFill>
                  <w14:solidFill>
                    <w14:schemeClr w14:val="tx1"/>
                  </w14:solidFill>
                </w14:textFill>
              </w:rPr>
              <w:t>1500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专家评审费用以实际发生费用为准。</w:t>
            </w:r>
          </w:p>
          <w:p w14:paraId="0E8D1C9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支付主体：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w:t>
            </w:r>
          </w:p>
        </w:tc>
      </w:tr>
      <w:tr w14:paraId="29412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1B7ECF6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575" w:type="dxa"/>
            <w:noWrap w:val="0"/>
            <w:vAlign w:val="center"/>
          </w:tcPr>
          <w:p w14:paraId="2A9FA4A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澄清的方式</w:t>
            </w:r>
          </w:p>
        </w:tc>
        <w:tc>
          <w:tcPr>
            <w:tcW w:w="7395" w:type="dxa"/>
            <w:noWrap w:val="0"/>
            <w:vAlign w:val="center"/>
          </w:tcPr>
          <w:p w14:paraId="01EC2342">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如投标人对招标文件有疑问，请于</w:t>
            </w:r>
            <w:r>
              <w:rPr>
                <w:rFonts w:hint="eastAsia" w:ascii="宋体" w:hAnsi="宋体" w:cs="宋体"/>
                <w:b/>
                <w:bCs/>
                <w:color w:val="000000" w:themeColor="text1"/>
                <w:spacing w:val="-4"/>
                <w:szCs w:val="21"/>
                <w:highlight w:val="none"/>
                <w14:textFill>
                  <w14:solidFill>
                    <w14:schemeClr w14:val="tx1"/>
                  </w14:solidFill>
                </w14:textFill>
              </w:rPr>
              <w:t>2025年</w:t>
            </w:r>
            <w:r>
              <w:rPr>
                <w:rFonts w:hint="eastAsia" w:ascii="宋体" w:hAnsi="宋体" w:cs="宋体"/>
                <w:b/>
                <w:bCs/>
                <w:color w:val="000000" w:themeColor="text1"/>
                <w:spacing w:val="-4"/>
                <w:szCs w:val="21"/>
                <w:highlight w:val="none"/>
                <w:lang w:val="en-US" w:eastAsia="zh-CN"/>
                <w14:textFill>
                  <w14:solidFill>
                    <w14:schemeClr w14:val="tx1"/>
                  </w14:solidFill>
                </w14:textFill>
              </w:rPr>
              <w:t>10</w:t>
            </w:r>
            <w:r>
              <w:rPr>
                <w:rFonts w:hint="eastAsia" w:ascii="宋体" w:hAnsi="宋体" w:cs="宋体"/>
                <w:b/>
                <w:bCs/>
                <w:color w:val="000000" w:themeColor="text1"/>
                <w:spacing w:val="-4"/>
                <w:szCs w:val="21"/>
                <w:highlight w:val="none"/>
                <w14:textFill>
                  <w14:solidFill>
                    <w14:schemeClr w14:val="tx1"/>
                  </w14:solidFill>
                </w14:textFill>
              </w:rPr>
              <w:t>月</w:t>
            </w:r>
            <w:r>
              <w:rPr>
                <w:rFonts w:hint="eastAsia" w:ascii="宋体" w:hAnsi="宋体" w:cs="宋体"/>
                <w:b/>
                <w:bCs/>
                <w:color w:val="000000" w:themeColor="text1"/>
                <w:spacing w:val="-4"/>
                <w:szCs w:val="21"/>
                <w:highlight w:val="none"/>
                <w:lang w:val="en-US" w:eastAsia="zh-CN"/>
                <w14:textFill>
                  <w14:solidFill>
                    <w14:schemeClr w14:val="tx1"/>
                  </w14:solidFill>
                </w14:textFill>
              </w:rPr>
              <w:t>31</w:t>
            </w:r>
            <w:r>
              <w:rPr>
                <w:rFonts w:hint="eastAsia" w:ascii="宋体" w:hAnsi="宋体" w:cs="宋体"/>
                <w:color w:val="000000" w:themeColor="text1"/>
                <w:spacing w:val="-4"/>
                <w:szCs w:val="21"/>
                <w:highlight w:val="none"/>
                <w14:textFill>
                  <w14:solidFill>
                    <w14:schemeClr w14:val="tx1"/>
                  </w14:solidFill>
                </w14:textFill>
              </w:rPr>
              <w:fldChar w:fldCharType="begin"/>
            </w:r>
            <w:r>
              <w:rPr>
                <w:rFonts w:hint="eastAsia" w:ascii="宋体" w:hAnsi="宋体" w:cs="宋体"/>
                <w:color w:val="000000" w:themeColor="text1"/>
                <w:spacing w:val="-4"/>
                <w:szCs w:val="21"/>
                <w:highlight w:val="none"/>
                <w14:textFill>
                  <w14:solidFill>
                    <w14:schemeClr w14:val="tx1"/>
                  </w14:solidFill>
                </w14:textFill>
              </w:rPr>
              <w:instrText xml:space="preserve"> HYPERLINK "mailto:日12时前将疑问内容以电子邮件形式发送至czsctgczx@163.com（滁州市城投工程咨询管理有限公司邮箱），招标人将在2024年4月" </w:instrText>
            </w:r>
            <w:r>
              <w:rPr>
                <w:rFonts w:hint="eastAsia" w:ascii="宋体" w:hAnsi="宋体" w:cs="宋体"/>
                <w:color w:val="000000" w:themeColor="text1"/>
                <w:spacing w:val="-4"/>
                <w:szCs w:val="21"/>
                <w:highlight w:val="none"/>
                <w14:textFill>
                  <w14:solidFill>
                    <w14:schemeClr w14:val="tx1"/>
                  </w14:solidFill>
                </w14:textFill>
              </w:rPr>
              <w:fldChar w:fldCharType="separate"/>
            </w:r>
            <w:r>
              <w:rPr>
                <w:rFonts w:hint="eastAsia" w:ascii="宋体" w:hAnsi="宋体" w:cs="宋体"/>
                <w:b/>
                <w:bCs/>
                <w:color w:val="000000" w:themeColor="text1"/>
                <w:spacing w:val="-4"/>
                <w:szCs w:val="21"/>
                <w:highlight w:val="none"/>
                <w14:textFill>
                  <w14:solidFill>
                    <w14:schemeClr w14:val="tx1"/>
                  </w14:solidFill>
                </w14:textFill>
              </w:rPr>
              <w:t>日</w:t>
            </w:r>
            <w:r>
              <w:rPr>
                <w:rFonts w:hint="eastAsia" w:ascii="宋体" w:hAnsi="宋体" w:cs="宋体"/>
                <w:b/>
                <w:bCs/>
                <w:color w:val="000000" w:themeColor="text1"/>
                <w:spacing w:val="-4"/>
                <w:szCs w:val="21"/>
                <w:highlight w:val="none"/>
                <w:lang w:val="en-US" w:eastAsia="zh-CN"/>
                <w14:textFill>
                  <w14:solidFill>
                    <w14:schemeClr w14:val="tx1"/>
                  </w14:solidFill>
                </w14:textFill>
              </w:rPr>
              <w:t>11</w:t>
            </w:r>
            <w:r>
              <w:rPr>
                <w:rFonts w:hint="eastAsia" w:ascii="宋体" w:hAnsi="宋体" w:cs="宋体"/>
                <w:b/>
                <w:bCs/>
                <w:color w:val="000000" w:themeColor="text1"/>
                <w:spacing w:val="-4"/>
                <w:szCs w:val="21"/>
                <w:highlight w:val="none"/>
                <w14:textFill>
                  <w14:solidFill>
                    <w14:schemeClr w14:val="tx1"/>
                  </w14:solidFill>
                </w14:textFill>
              </w:rPr>
              <w:t>时前</w:t>
            </w:r>
            <w:r>
              <w:rPr>
                <w:rFonts w:hint="eastAsia" w:ascii="宋体" w:hAnsi="宋体" w:cs="宋体"/>
                <w:color w:val="000000" w:themeColor="text1"/>
                <w:szCs w:val="21"/>
                <w:highlight w:val="none"/>
                <w:lang w:val="en-US" w:eastAsia="zh-CN"/>
                <w14:textFill>
                  <w14:solidFill>
                    <w14:schemeClr w14:val="tx1"/>
                  </w14:solidFill>
                </w14:textFill>
              </w:rPr>
              <w:t>将疑问内容发送至603727167@qq.com</w:t>
            </w:r>
            <w:r>
              <w:rPr>
                <w:rFonts w:hint="eastAsia" w:ascii="宋体" w:hAnsi="宋体" w:cs="宋体"/>
                <w:color w:val="000000" w:themeColor="text1"/>
                <w:spacing w:val="-4"/>
                <w:szCs w:val="21"/>
                <w:highlight w:val="none"/>
                <w14:textFill>
                  <w14:solidFill>
                    <w14:schemeClr w14:val="tx1"/>
                  </w14:solidFill>
                </w14:textFill>
              </w:rPr>
              <w:t>，招标人将在</w:t>
            </w:r>
            <w:r>
              <w:rPr>
                <w:rFonts w:hint="eastAsia" w:ascii="宋体" w:hAnsi="宋体" w:cs="宋体"/>
                <w:b/>
                <w:bCs/>
                <w:color w:val="000000" w:themeColor="text1"/>
                <w:spacing w:val="-4"/>
                <w:szCs w:val="21"/>
                <w:highlight w:val="none"/>
                <w14:textFill>
                  <w14:solidFill>
                    <w14:schemeClr w14:val="tx1"/>
                  </w14:solidFill>
                </w14:textFill>
              </w:rPr>
              <w:t>2025年</w:t>
            </w:r>
            <w:r>
              <w:rPr>
                <w:rFonts w:hint="eastAsia" w:ascii="宋体" w:hAnsi="宋体" w:cs="宋体"/>
                <w:b/>
                <w:bCs/>
                <w:color w:val="000000" w:themeColor="text1"/>
                <w:spacing w:val="-4"/>
                <w:szCs w:val="21"/>
                <w:highlight w:val="none"/>
                <w:lang w:val="en-US" w:eastAsia="zh-CN"/>
                <w14:textFill>
                  <w14:solidFill>
                    <w14:schemeClr w14:val="tx1"/>
                  </w14:solidFill>
                </w14:textFill>
              </w:rPr>
              <w:t>10</w:t>
            </w:r>
            <w:r>
              <w:rPr>
                <w:rFonts w:hint="eastAsia" w:ascii="宋体" w:hAnsi="宋体" w:cs="宋体"/>
                <w:b/>
                <w:bCs/>
                <w:color w:val="000000" w:themeColor="text1"/>
                <w:spacing w:val="-4"/>
                <w:szCs w:val="21"/>
                <w:highlight w:val="none"/>
                <w14:textFill>
                  <w14:solidFill>
                    <w14:schemeClr w14:val="tx1"/>
                  </w14:solidFill>
                </w14:textFill>
              </w:rPr>
              <w:t>月</w:t>
            </w:r>
            <w:r>
              <w:rPr>
                <w:rFonts w:hint="eastAsia" w:ascii="宋体" w:hAnsi="宋体" w:cs="宋体"/>
                <w:color w:val="000000" w:themeColor="text1"/>
                <w:spacing w:val="-4"/>
                <w:szCs w:val="21"/>
                <w:highlight w:val="none"/>
                <w14:textFill>
                  <w14:solidFill>
                    <w14:schemeClr w14:val="tx1"/>
                  </w14:solidFill>
                </w14:textFill>
              </w:rPr>
              <w:fldChar w:fldCharType="end"/>
            </w:r>
            <w:r>
              <w:rPr>
                <w:rFonts w:hint="eastAsia" w:ascii="宋体" w:hAnsi="宋体" w:cs="宋体"/>
                <w:b/>
                <w:bCs/>
                <w:color w:val="000000" w:themeColor="text1"/>
                <w:spacing w:val="-4"/>
                <w:szCs w:val="21"/>
                <w:highlight w:val="none"/>
                <w:lang w:val="en-US" w:eastAsia="zh-CN"/>
                <w14:textFill>
                  <w14:solidFill>
                    <w14:schemeClr w14:val="tx1"/>
                  </w14:solidFill>
                </w14:textFill>
              </w:rPr>
              <w:t>31</w:t>
            </w:r>
            <w:r>
              <w:rPr>
                <w:rFonts w:hint="eastAsia" w:ascii="宋体" w:hAnsi="宋体" w:cs="宋体"/>
                <w:b/>
                <w:bCs/>
                <w:color w:val="000000" w:themeColor="text1"/>
                <w:spacing w:val="-4"/>
                <w:szCs w:val="21"/>
                <w:highlight w:val="none"/>
                <w14:textFill>
                  <w14:solidFill>
                    <w14:schemeClr w14:val="tx1"/>
                  </w14:solidFill>
                </w14:textFill>
              </w:rPr>
              <w:t>日17时</w:t>
            </w:r>
            <w:r>
              <w:rPr>
                <w:rFonts w:hint="eastAsia" w:ascii="宋体" w:hAnsi="宋体" w:cs="宋体"/>
                <w:color w:val="000000" w:themeColor="text1"/>
                <w:spacing w:val="-4"/>
                <w:szCs w:val="21"/>
                <w:highlight w:val="none"/>
                <w14:textFill>
                  <w14:solidFill>
                    <w14:schemeClr w14:val="tx1"/>
                  </w14:solidFill>
                </w14:textFill>
              </w:rPr>
              <w:t>后</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滁州扬子工业投资集团有限公司官网（https://czyzgtjt.com/）</w:t>
            </w:r>
            <w:r>
              <w:rPr>
                <w:rFonts w:hint="eastAsia" w:ascii="宋体" w:hAnsi="宋体" w:eastAsia="宋体" w:cs="宋体"/>
                <w:color w:val="000000" w:themeColor="text1"/>
                <w:szCs w:val="21"/>
                <w:highlight w:val="none"/>
                <w14:textFill>
                  <w14:solidFill>
                    <w14:schemeClr w14:val="tx1"/>
                  </w14:solidFill>
                </w14:textFill>
              </w:rPr>
              <w:t>网站发布，请各位投标人注意查看有关澄清内容，如不及时查看造成后果由投标人自负。</w:t>
            </w:r>
          </w:p>
        </w:tc>
      </w:tr>
      <w:tr w14:paraId="3A6E12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1170B0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575" w:type="dxa"/>
            <w:noWrap w:val="0"/>
            <w:vAlign w:val="center"/>
          </w:tcPr>
          <w:p w14:paraId="25281D9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7395" w:type="dxa"/>
            <w:noWrap w:val="0"/>
            <w:vAlign w:val="center"/>
          </w:tcPr>
          <w:p w14:paraId="3E554A3E">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日历天（从投标截止之日算起）。在此期限内，凡符合本招标文件要求的投标文件均保持有效。</w:t>
            </w:r>
          </w:p>
        </w:tc>
      </w:tr>
      <w:tr w14:paraId="451998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8" w:type="dxa"/>
            <w:noWrap w:val="0"/>
            <w:vAlign w:val="center"/>
          </w:tcPr>
          <w:p w14:paraId="2B29037D">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575" w:type="dxa"/>
            <w:noWrap w:val="0"/>
            <w:vAlign w:val="center"/>
          </w:tcPr>
          <w:p w14:paraId="4A17999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7395" w:type="dxa"/>
            <w:noWrap w:val="0"/>
            <w:vAlign w:val="top"/>
          </w:tcPr>
          <w:p w14:paraId="1FFAD352">
            <w:pPr>
              <w:keepNext w:val="0"/>
              <w:keepLines w:val="0"/>
              <w:pageBreakBefore w:val="0"/>
              <w:widowControl/>
              <w:shd w:val="clear" w:color="auto" w:fill="FFFFFF"/>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277ABA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638" w:type="dxa"/>
            <w:noWrap w:val="0"/>
            <w:vAlign w:val="center"/>
          </w:tcPr>
          <w:p w14:paraId="4AA4CCB3">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575" w:type="dxa"/>
            <w:noWrap w:val="0"/>
            <w:vAlign w:val="center"/>
          </w:tcPr>
          <w:p w14:paraId="6F00881E">
            <w:pPr>
              <w:pStyle w:val="21"/>
              <w:keepNext w:val="0"/>
              <w:keepLines w:val="0"/>
              <w:pageBreakBefore w:val="0"/>
              <w:kinsoku/>
              <w:overflowPunct/>
              <w:topLinePunct w:val="0"/>
              <w:autoSpaceDE/>
              <w:autoSpaceDN/>
              <w:bidi w:val="0"/>
              <w:adjustRightInd/>
              <w:spacing w:line="5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份数及密封要求</w:t>
            </w:r>
          </w:p>
        </w:tc>
        <w:tc>
          <w:tcPr>
            <w:tcW w:w="7395" w:type="dxa"/>
            <w:noWrap w:val="0"/>
            <w:vAlign w:val="center"/>
          </w:tcPr>
          <w:p w14:paraId="7D86F341">
            <w:pPr>
              <w:keepNext w:val="0"/>
              <w:keepLines w:val="0"/>
              <w:pageBreakBefore w:val="0"/>
              <w:numPr>
                <w:ilvl w:val="0"/>
                <w:numId w:val="0"/>
              </w:numPr>
              <w:kinsoku/>
              <w:overflowPunct/>
              <w:topLinePunct w:val="0"/>
              <w:autoSpaceDE/>
              <w:autoSpaceDN/>
              <w:bidi w:val="0"/>
              <w:adjustRightInd/>
              <w:spacing w:line="5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1.份数：正本：一份；副本：一份。</w:t>
            </w:r>
          </w:p>
          <w:p w14:paraId="3824AC52">
            <w:pPr>
              <w:keepNext w:val="0"/>
              <w:keepLines w:val="0"/>
              <w:pageBreakBefore w:val="0"/>
              <w:numPr>
                <w:ilvl w:val="0"/>
                <w:numId w:val="0"/>
              </w:numPr>
              <w:kinsoku/>
              <w:overflowPunct/>
              <w:topLinePunct w:val="0"/>
              <w:autoSpaceDE/>
              <w:autoSpaceDN/>
              <w:bidi w:val="0"/>
              <w:adjustRightInd/>
              <w:spacing w:line="520" w:lineRule="exac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2.投标文件正本、副本密封在投标文件袋内。</w:t>
            </w:r>
          </w:p>
        </w:tc>
      </w:tr>
      <w:tr w14:paraId="42C6F3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2F0B69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575" w:type="dxa"/>
            <w:noWrap w:val="0"/>
            <w:vAlign w:val="center"/>
          </w:tcPr>
          <w:p w14:paraId="08F5FCC9">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签字或盖章要求</w:t>
            </w:r>
          </w:p>
        </w:tc>
        <w:tc>
          <w:tcPr>
            <w:tcW w:w="7395" w:type="dxa"/>
            <w:noWrap w:val="0"/>
            <w:vAlign w:val="center"/>
          </w:tcPr>
          <w:p w14:paraId="6CD65EB5">
            <w:pPr>
              <w:keepNext w:val="0"/>
              <w:keepLines w:val="0"/>
              <w:pageBreakBefore w:val="0"/>
              <w:widowControl/>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投标文件须按格式文件要求签字或盖章，否则经评委会一致认定后，按照无效投标处理。</w:t>
            </w:r>
          </w:p>
        </w:tc>
      </w:tr>
      <w:tr w14:paraId="271CE2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638" w:type="dxa"/>
            <w:noWrap w:val="0"/>
            <w:vAlign w:val="center"/>
          </w:tcPr>
          <w:p w14:paraId="659754A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1575" w:type="dxa"/>
            <w:noWrap w:val="0"/>
            <w:vAlign w:val="center"/>
          </w:tcPr>
          <w:p w14:paraId="1B1DA8F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投标文件提交截止时间</w:t>
            </w:r>
          </w:p>
        </w:tc>
        <w:tc>
          <w:tcPr>
            <w:tcW w:w="7395" w:type="dxa"/>
            <w:noWrap w:val="0"/>
            <w:vAlign w:val="center"/>
          </w:tcPr>
          <w:p w14:paraId="120DD33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11 </w:t>
            </w:r>
            <w:r>
              <w:rPr>
                <w:rFonts w:hint="eastAsia" w:ascii="宋体" w:hAnsi="宋体" w:eastAsia="宋体" w:cs="宋体"/>
                <w:b/>
                <w:bCs/>
                <w:color w:val="000000" w:themeColor="text1"/>
                <w:sz w:val="21"/>
                <w:szCs w:val="21"/>
                <w:highlight w:val="none"/>
                <w14:textFill>
                  <w14:solidFill>
                    <w14:schemeClr w14:val="tx1"/>
                  </w14:solidFill>
                </w14:textFill>
              </w:rPr>
              <w:t>月</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日</w:t>
            </w:r>
            <w:r>
              <w:rPr>
                <w:rFonts w:hint="eastAsia" w:ascii="宋体"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14:textFill>
                  <w14:solidFill>
                    <w14:schemeClr w14:val="tx1"/>
                  </w14:solidFill>
                </w14:textFill>
              </w:rPr>
              <w:t>时</w:t>
            </w:r>
            <w:r>
              <w:rPr>
                <w:rFonts w:hint="eastAsia" w:ascii="宋体" w:hAnsi="宋体" w:cs="宋体"/>
                <w:b/>
                <w:bCs/>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b/>
                <w:bCs/>
                <w:color w:val="000000" w:themeColor="text1"/>
                <w:sz w:val="21"/>
                <w:szCs w:val="21"/>
                <w:highlight w:val="none"/>
                <w14:textFill>
                  <w14:solidFill>
                    <w14:schemeClr w14:val="tx1"/>
                  </w14:solidFill>
                </w14:textFill>
              </w:rPr>
              <w:t>分（北京时间）</w:t>
            </w:r>
          </w:p>
        </w:tc>
      </w:tr>
      <w:tr w14:paraId="38D19F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38" w:type="dxa"/>
            <w:noWrap w:val="0"/>
            <w:vAlign w:val="center"/>
          </w:tcPr>
          <w:p w14:paraId="78FD8872">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1575" w:type="dxa"/>
            <w:noWrap w:val="0"/>
            <w:vAlign w:val="center"/>
          </w:tcPr>
          <w:p w14:paraId="04E841C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是否退还投标文件</w:t>
            </w:r>
          </w:p>
        </w:tc>
        <w:tc>
          <w:tcPr>
            <w:tcW w:w="7395" w:type="dxa"/>
            <w:noWrap w:val="0"/>
            <w:vAlign w:val="center"/>
          </w:tcPr>
          <w:p w14:paraId="76F073E4">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6C63D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67B8FE2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1575" w:type="dxa"/>
            <w:noWrap w:val="0"/>
            <w:vAlign w:val="center"/>
          </w:tcPr>
          <w:p w14:paraId="7DA0A024">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开标时间及地点</w:t>
            </w:r>
          </w:p>
        </w:tc>
        <w:tc>
          <w:tcPr>
            <w:tcW w:w="7395" w:type="dxa"/>
            <w:noWrap w:val="0"/>
            <w:vAlign w:val="center"/>
          </w:tcPr>
          <w:p w14:paraId="1389D5A1">
            <w:pPr>
              <w:keepNext w:val="0"/>
              <w:keepLines w:val="0"/>
              <w:pageBreakBefore w:val="0"/>
              <w:kinsoku/>
              <w:overflowPunct/>
              <w:autoSpaceDE/>
              <w:autoSpaceDN/>
              <w:bidi w:val="0"/>
              <w:spacing w:line="5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cs="宋体"/>
                <w:b/>
                <w:bCs/>
                <w:color w:val="000000" w:themeColor="text1"/>
                <w:szCs w:val="21"/>
                <w:highlight w:val="none"/>
                <w14:textFill>
                  <w14:solidFill>
                    <w14:schemeClr w14:val="tx1"/>
                  </w14:solidFill>
                </w14:textFill>
              </w:rPr>
              <w:t>2025年</w:t>
            </w:r>
            <w:r>
              <w:rPr>
                <w:rFonts w:hint="eastAsia" w:ascii="宋体" w:hAnsi="宋体" w:cs="宋体"/>
                <w:b/>
                <w:bCs/>
                <w:color w:val="000000" w:themeColor="text1"/>
                <w:szCs w:val="21"/>
                <w:highlight w:val="none"/>
                <w:lang w:val="en-US" w:eastAsia="zh-CN"/>
                <w14:textFill>
                  <w14:solidFill>
                    <w14:schemeClr w14:val="tx1"/>
                  </w14:solidFill>
                </w14:textFill>
              </w:rPr>
              <w:t>11</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lang w:val="en-US" w:eastAsia="zh-CN"/>
                <w14:textFill>
                  <w14:solidFill>
                    <w14:schemeClr w14:val="tx1"/>
                  </w14:solidFill>
                </w14:textFill>
              </w:rPr>
              <w:t>15</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lang w:val="en-US" w:eastAsia="zh-CN"/>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分（北京时间）</w:t>
            </w:r>
          </w:p>
          <w:p w14:paraId="2741CCA4">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滁州市城投工程咨询管理有限公司603会议室（滁州市南谯区龙蟠大道109号房产大厦六楼）</w:t>
            </w:r>
          </w:p>
        </w:tc>
      </w:tr>
      <w:tr w14:paraId="45A8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0FA27AD1">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1575" w:type="dxa"/>
            <w:noWrap w:val="0"/>
            <w:vAlign w:val="center"/>
          </w:tcPr>
          <w:p w14:paraId="53226F8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开标程序</w:t>
            </w:r>
          </w:p>
        </w:tc>
        <w:tc>
          <w:tcPr>
            <w:tcW w:w="7395" w:type="dxa"/>
            <w:noWrap w:val="0"/>
            <w:vAlign w:val="center"/>
          </w:tcPr>
          <w:p w14:paraId="5F0C5340">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先进行符合性审查，再进行综合评审。</w:t>
            </w:r>
          </w:p>
        </w:tc>
      </w:tr>
      <w:tr w14:paraId="30951C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38" w:type="dxa"/>
            <w:noWrap w:val="0"/>
            <w:vAlign w:val="center"/>
          </w:tcPr>
          <w:p w14:paraId="07BB26A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p>
        </w:tc>
        <w:tc>
          <w:tcPr>
            <w:tcW w:w="1575" w:type="dxa"/>
            <w:noWrap w:val="0"/>
            <w:vAlign w:val="center"/>
          </w:tcPr>
          <w:p w14:paraId="606D69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评标委员会的组建</w:t>
            </w:r>
          </w:p>
        </w:tc>
        <w:tc>
          <w:tcPr>
            <w:tcW w:w="7395" w:type="dxa"/>
            <w:noWrap w:val="0"/>
            <w:vAlign w:val="top"/>
          </w:tcPr>
          <w:p w14:paraId="04199F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由招标人组建</w:t>
            </w:r>
            <w:r>
              <w:rPr>
                <w:rFonts w:hint="eastAsia" w:ascii="宋体" w:hAnsi="宋体" w:eastAsia="宋体" w:cs="宋体"/>
                <w:color w:val="000000" w:themeColor="text1"/>
                <w:sz w:val="21"/>
                <w:szCs w:val="21"/>
                <w:highlight w:val="none"/>
                <w14:textFill>
                  <w14:solidFill>
                    <w14:schemeClr w14:val="tx1"/>
                  </w14:solidFill>
                </w14:textFill>
              </w:rPr>
              <w:t>。</w:t>
            </w:r>
          </w:p>
        </w:tc>
      </w:tr>
      <w:tr w14:paraId="3597C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62FE491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p>
        </w:tc>
        <w:tc>
          <w:tcPr>
            <w:tcW w:w="1575" w:type="dxa"/>
            <w:noWrap w:val="0"/>
            <w:vAlign w:val="center"/>
          </w:tcPr>
          <w:p w14:paraId="1A16FA7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是否授权评标委员会确定中标候选人</w:t>
            </w:r>
          </w:p>
        </w:tc>
        <w:tc>
          <w:tcPr>
            <w:tcW w:w="7395" w:type="dxa"/>
            <w:noWrap w:val="0"/>
            <w:vAlign w:val="center"/>
          </w:tcPr>
          <w:p w14:paraId="6DEF9F3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是，评标委员会推荐</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3</w:t>
            </w:r>
            <w:r>
              <w:rPr>
                <w:rFonts w:hint="eastAsia" w:ascii="宋体" w:hAnsi="宋体" w:eastAsia="宋体" w:cs="宋体"/>
                <w:color w:val="000000" w:themeColor="text1"/>
                <w:sz w:val="21"/>
                <w:szCs w:val="21"/>
                <w:highlight w:val="none"/>
                <w14:textFill>
                  <w14:solidFill>
                    <w14:schemeClr w14:val="tx1"/>
                  </w14:solidFill>
                </w14:textFill>
              </w:rPr>
              <w:t>名中标候选人。</w:t>
            </w:r>
          </w:p>
        </w:tc>
      </w:tr>
      <w:tr w14:paraId="511C94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46E549F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75" w:type="dxa"/>
            <w:shd w:val="clear" w:color="auto" w:fill="auto"/>
            <w:noWrap w:val="0"/>
            <w:vAlign w:val="center"/>
          </w:tcPr>
          <w:p w14:paraId="33E4491C">
            <w:pPr>
              <w:pStyle w:val="21"/>
              <w:spacing w:line="560" w:lineRule="exact"/>
              <w:jc w:val="both"/>
              <w:rPr>
                <w:rFonts w:hint="eastAsia" w:ascii="宋体" w:hAnsi="宋体" w:eastAsia="宋体" w:cs="宋体"/>
                <w:color w:val="000000" w:themeColor="text1"/>
                <w:kern w:val="2"/>
                <w:sz w:val="21"/>
                <w:szCs w:val="21"/>
                <w:highlight w:val="none"/>
                <w:u w:val="none" w:color="000000"/>
                <w:lang w:val="en-US" w:eastAsia="zh-CN" w:bidi="ar-SA"/>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中标结果公告媒介</w:t>
            </w:r>
          </w:p>
        </w:tc>
        <w:tc>
          <w:tcPr>
            <w:tcW w:w="7395" w:type="dxa"/>
            <w:shd w:val="clear" w:color="auto" w:fill="auto"/>
            <w:noWrap w:val="0"/>
            <w:vAlign w:val="center"/>
          </w:tcPr>
          <w:p w14:paraId="40A04F3E">
            <w:pPr>
              <w:pStyle w:val="21"/>
              <w:spacing w:line="560" w:lineRule="exact"/>
              <w:jc w:val="both"/>
              <w:rPr>
                <w:rFonts w:hint="eastAsia" w:ascii="宋体" w:hAnsi="宋体" w:eastAsia="宋体" w:cs="宋体"/>
                <w:color w:val="000000" w:themeColor="text1"/>
                <w:kern w:val="2"/>
                <w:sz w:val="21"/>
                <w:szCs w:val="21"/>
                <w:highlight w:val="none"/>
                <w:u w:val="none" w:color="000000"/>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滁州扬子工业投资集团有限公司官网（https://czyzgtjt.com/）</w:t>
            </w:r>
            <w:r>
              <w:rPr>
                <w:rFonts w:hint="eastAsia" w:ascii="宋体" w:hAnsi="宋体" w:eastAsia="宋体" w:cs="宋体"/>
                <w:color w:val="000000" w:themeColor="text1"/>
                <w:szCs w:val="21"/>
                <w:highlight w:val="none"/>
                <w14:textFill>
                  <w14:solidFill>
                    <w14:schemeClr w14:val="tx1"/>
                  </w14:solidFill>
                </w14:textFill>
              </w:rPr>
              <w:t>网站</w:t>
            </w:r>
          </w:p>
        </w:tc>
      </w:tr>
      <w:tr w14:paraId="296024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38" w:type="dxa"/>
            <w:noWrap w:val="0"/>
            <w:vAlign w:val="center"/>
          </w:tcPr>
          <w:p w14:paraId="2CFC2FC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75" w:type="dxa"/>
            <w:noWrap w:val="0"/>
            <w:vAlign w:val="center"/>
          </w:tcPr>
          <w:p w14:paraId="3CBCCE1A">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7395" w:type="dxa"/>
            <w:noWrap w:val="0"/>
            <w:vAlign w:val="center"/>
          </w:tcPr>
          <w:p w14:paraId="6F8DCB7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中标通知书须加盖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招标人及代理机构公章</w:t>
            </w:r>
            <w:r>
              <w:rPr>
                <w:rFonts w:hint="eastAsia" w:ascii="宋体" w:hAnsi="宋体" w:eastAsia="宋体" w:cs="宋体"/>
                <w:color w:val="000000" w:themeColor="text1"/>
                <w:sz w:val="21"/>
                <w:szCs w:val="21"/>
                <w:highlight w:val="none"/>
                <w14:textFill>
                  <w14:solidFill>
                    <w14:schemeClr w14:val="tx1"/>
                  </w14:solidFill>
                </w14:textFill>
              </w:rPr>
              <w:t>后方可发出。</w:t>
            </w:r>
          </w:p>
        </w:tc>
      </w:tr>
      <w:tr w14:paraId="74BCD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5BA2400B">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575" w:type="dxa"/>
            <w:noWrap w:val="0"/>
            <w:vAlign w:val="center"/>
          </w:tcPr>
          <w:p w14:paraId="24E2A900">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tc>
        <w:tc>
          <w:tcPr>
            <w:tcW w:w="7395" w:type="dxa"/>
            <w:noWrap w:val="0"/>
            <w:vAlign w:val="center"/>
          </w:tcPr>
          <w:p w14:paraId="64D89344">
            <w:pPr>
              <w:keepNext w:val="0"/>
              <w:keepLines w:val="0"/>
              <w:pageBreakBefore w:val="0"/>
              <w:kinsoku/>
              <w:wordWrap w:val="0"/>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本项目不收取履约担保。</w:t>
            </w:r>
          </w:p>
        </w:tc>
      </w:tr>
      <w:tr w14:paraId="71DB17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74116FF0">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p>
        </w:tc>
        <w:tc>
          <w:tcPr>
            <w:tcW w:w="1575" w:type="dxa"/>
            <w:noWrap w:val="0"/>
            <w:vAlign w:val="center"/>
          </w:tcPr>
          <w:p w14:paraId="4B3AF3E6">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付款方式、时间、条件</w:t>
            </w:r>
          </w:p>
        </w:tc>
        <w:tc>
          <w:tcPr>
            <w:tcW w:w="7395" w:type="dxa"/>
            <w:noWrap w:val="0"/>
            <w:vAlign w:val="center"/>
          </w:tcPr>
          <w:p w14:paraId="3F1E672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依据见费出单的规定，本项目按每月实际出单保险费用全额支付。</w:t>
            </w:r>
          </w:p>
        </w:tc>
      </w:tr>
      <w:tr w14:paraId="62DEA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9608" w:type="dxa"/>
            <w:gridSpan w:val="3"/>
            <w:shd w:val="clear" w:color="auto" w:fill="auto"/>
            <w:noWrap w:val="0"/>
            <w:vAlign w:val="center"/>
          </w:tcPr>
          <w:p w14:paraId="1AF8FC9B">
            <w:pPr>
              <w:keepNext w:val="0"/>
              <w:keepLines w:val="0"/>
              <w:pageBreakBefore w:val="0"/>
              <w:kinsoku/>
              <w:wordWrap w:val="0"/>
              <w:overflowPunct/>
              <w:topLinePunct w:val="0"/>
              <w:autoSpaceDE/>
              <w:autoSpaceDN/>
              <w:bidi w:val="0"/>
              <w:spacing w:line="520" w:lineRule="exact"/>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9" w:name="_Toc449028866"/>
            <w:bookmarkStart w:id="20" w:name="_Toc58430315"/>
            <w:r>
              <w:rPr>
                <w:rFonts w:hint="eastAsia" w:ascii="宋体" w:hAnsi="宋体" w:eastAsia="宋体" w:cs="宋体"/>
                <w:b/>
                <w:bCs/>
                <w:color w:val="000000" w:themeColor="text1"/>
                <w:sz w:val="21"/>
                <w:szCs w:val="21"/>
                <w:lang w:val="en-US" w:eastAsia="zh-CN"/>
                <w14:textFill>
                  <w14:solidFill>
                    <w14:schemeClr w14:val="tx1"/>
                  </w14:solidFill>
                </w14:textFill>
              </w:rPr>
              <w:t>特别</w:t>
            </w:r>
            <w:r>
              <w:rPr>
                <w:rFonts w:hint="eastAsia" w:ascii="宋体" w:hAnsi="宋体" w:eastAsia="宋体" w:cs="宋体"/>
                <w:b/>
                <w:bCs/>
                <w:color w:val="000000" w:themeColor="text1"/>
                <w:sz w:val="21"/>
                <w:szCs w:val="21"/>
                <w14:textFill>
                  <w14:solidFill>
                    <w14:schemeClr w14:val="tx1"/>
                  </w14:solidFill>
                </w14:textFill>
              </w:rPr>
              <w:t>说</w:t>
            </w:r>
            <w:r>
              <w:rPr>
                <w:rFonts w:hint="eastAsia" w:ascii="宋体" w:hAnsi="宋体" w:eastAsia="宋体" w:cs="宋体"/>
                <w:b/>
                <w:bCs/>
                <w:color w:val="000000" w:themeColor="text1"/>
                <w:sz w:val="21"/>
                <w:szCs w:val="21"/>
                <w:highlight w:val="none"/>
                <w14:textFill>
                  <w14:solidFill>
                    <w14:schemeClr w14:val="tx1"/>
                  </w14:solidFill>
                </w14:textFill>
              </w:rPr>
              <w:t>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：投标文件内需要法定代表人签字或盖章的地方；可以由分公司的法人或项目负责人签字或盖章。</w:t>
            </w:r>
          </w:p>
        </w:tc>
      </w:tr>
    </w:tbl>
    <w:p w14:paraId="3303EFDE">
      <w:pPr>
        <w:pageBreakBefore/>
        <w:spacing w:before="312" w:beforeLines="100" w:after="312" w:afterLines="100" w:line="440" w:lineRule="exact"/>
        <w:jc w:val="center"/>
        <w:outlineLvl w:val="1"/>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二、投标人须知</w:t>
      </w:r>
      <w:bookmarkEnd w:id="19"/>
      <w:bookmarkEnd w:id="20"/>
    </w:p>
    <w:p w14:paraId="22BE6FD1">
      <w:pPr>
        <w:spacing w:line="440" w:lineRule="exact"/>
        <w:jc w:val="center"/>
        <w:rPr>
          <w:rFonts w:hint="eastAsia" w:ascii="宋体" w:hAnsi="宋体" w:cs="宋体"/>
          <w:color w:val="000000" w:themeColor="text1"/>
          <w:sz w:val="28"/>
          <w:szCs w:val="28"/>
          <w:highlight w:val="none"/>
          <w14:textFill>
            <w14:solidFill>
              <w14:schemeClr w14:val="tx1"/>
            </w14:solidFill>
          </w14:textFill>
        </w:rPr>
      </w:pPr>
      <w:bookmarkStart w:id="21" w:name="_Toc449028867"/>
      <w:r>
        <w:rPr>
          <w:rFonts w:hint="eastAsia" w:ascii="宋体" w:hAnsi="宋体" w:cs="宋体"/>
          <w:b/>
          <w:color w:val="000000" w:themeColor="text1"/>
          <w:sz w:val="28"/>
          <w:szCs w:val="28"/>
          <w:highlight w:val="none"/>
          <w14:textFill>
            <w14:solidFill>
              <w14:schemeClr w14:val="tx1"/>
            </w14:solidFill>
          </w14:textFill>
        </w:rPr>
        <w:t>（一）</w:t>
      </w:r>
      <w:r>
        <w:rPr>
          <w:rFonts w:hint="eastAsia" w:ascii="宋体" w:hAnsi="宋体" w:cs="宋体"/>
          <w:b/>
          <w:color w:val="000000" w:themeColor="text1"/>
          <w:sz w:val="28"/>
          <w:szCs w:val="32"/>
          <w:highlight w:val="none"/>
          <w14:textFill>
            <w14:solidFill>
              <w14:schemeClr w14:val="tx1"/>
            </w14:solidFill>
          </w14:textFill>
        </w:rPr>
        <w:t>总  则</w:t>
      </w:r>
      <w:bookmarkEnd w:id="21"/>
    </w:p>
    <w:p w14:paraId="501DA0AE">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1.项目概况</w:t>
      </w:r>
    </w:p>
    <w:p w14:paraId="0497645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1.1本次招标采购项目名称：见投标人须知前附表。</w:t>
      </w:r>
    </w:p>
    <w:p w14:paraId="6810837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项目编号：见投标人须知前附表。</w:t>
      </w:r>
    </w:p>
    <w:p w14:paraId="66FB5E8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招 标 人：见投标人须知前附表。</w:t>
      </w:r>
    </w:p>
    <w:p w14:paraId="677D596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期：见投标人须知前附表。</w:t>
      </w:r>
    </w:p>
    <w:p w14:paraId="637735A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地点：见投标人须知前附表。</w:t>
      </w:r>
    </w:p>
    <w:p w14:paraId="2AF6B1C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及联系人: 见投标人须知前附表。</w:t>
      </w:r>
    </w:p>
    <w:p w14:paraId="03253F0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采购代理机构及联系人: 见投标人须知前附表。</w:t>
      </w:r>
    </w:p>
    <w:p w14:paraId="3028E02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1.3资金来源：见投标人须知前附表。</w:t>
      </w:r>
    </w:p>
    <w:p w14:paraId="5490DA6B">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1.4本项目预算：见投标人须知前附表。</w:t>
      </w:r>
    </w:p>
    <w:p w14:paraId="1E33333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1.5本项目最高限价：见投标人须知前附表。</w:t>
      </w:r>
    </w:p>
    <w:p w14:paraId="0D47EDA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2.招标范围：</w:t>
      </w:r>
    </w:p>
    <w:p w14:paraId="67CAA76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采购内容：见投标人须知前附表。</w:t>
      </w:r>
    </w:p>
    <w:p w14:paraId="2807C6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 技术要求：详见招标文件第四章采购需求。</w:t>
      </w:r>
    </w:p>
    <w:p w14:paraId="549756D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3.标包划分：</w:t>
      </w:r>
    </w:p>
    <w:p w14:paraId="355B1DC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3.1本项目划分：见投标人须知前附表。</w:t>
      </w:r>
    </w:p>
    <w:p w14:paraId="4BBADE5B">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4.招标方式：</w:t>
      </w:r>
    </w:p>
    <w:p w14:paraId="2FD0D80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4.1本项目招标方式：见投标人须知前附表。</w:t>
      </w:r>
    </w:p>
    <w:p w14:paraId="1E0700C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5.计价方式：</w:t>
      </w:r>
    </w:p>
    <w:p w14:paraId="5D6444E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5.1本次招标项目合同采用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单价合同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w:t>
      </w:r>
    </w:p>
    <w:p w14:paraId="2F231CE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6.评标办法：</w:t>
      </w:r>
    </w:p>
    <w:p w14:paraId="01ED961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6.1本次招标评标采用</w:t>
      </w:r>
      <w:r>
        <w:rPr>
          <w:rFonts w:hint="eastAsia" w:ascii="宋体" w:hAnsi="宋体" w:eastAsia="宋体" w:cs="宋体"/>
          <w:color w:val="000000" w:themeColor="text1"/>
          <w:szCs w:val="21"/>
          <w:highlight w:val="none"/>
          <w:u w:val="single"/>
          <w14:textFill>
            <w14:solidFill>
              <w14:schemeClr w14:val="tx1"/>
            </w14:solidFill>
          </w14:textFill>
        </w:rPr>
        <w:t xml:space="preserve"> 综合评分法 </w:t>
      </w:r>
      <w:r>
        <w:rPr>
          <w:rFonts w:hint="eastAsia" w:ascii="宋体" w:hAnsi="宋体" w:eastAsia="宋体" w:cs="宋体"/>
          <w:color w:val="000000" w:themeColor="text1"/>
          <w:szCs w:val="21"/>
          <w:highlight w:val="none"/>
          <w14:textFill>
            <w14:solidFill>
              <w14:schemeClr w14:val="tx1"/>
            </w14:solidFill>
          </w14:textFill>
        </w:rPr>
        <w:t>（详见第三章评标办法）</w:t>
      </w:r>
    </w:p>
    <w:p w14:paraId="41356C17">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7.投标人资格：</w:t>
      </w:r>
    </w:p>
    <w:p w14:paraId="0E185A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7.1本项目投标人资格：见投标人须知前附表。</w:t>
      </w:r>
    </w:p>
    <w:p w14:paraId="0233770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 投标费用</w:t>
      </w:r>
    </w:p>
    <w:p w14:paraId="5491ECD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8.1投标人准备和参加投标活动发生的费用自理。</w:t>
      </w:r>
    </w:p>
    <w:p w14:paraId="252D0ED2">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w:t>
      </w:r>
      <w:bookmarkStart w:id="22" w:name="_Toc152045539"/>
      <w:bookmarkStart w:id="23" w:name="_Toc247513962"/>
      <w:bookmarkStart w:id="24" w:name="_Toc296602429"/>
      <w:bookmarkStart w:id="25" w:name="_Toc152042315"/>
      <w:bookmarkStart w:id="26" w:name="_Toc247527563"/>
      <w:bookmarkStart w:id="27" w:name="_Toc247592876"/>
      <w:bookmarkStart w:id="28" w:name="_Toc144974507"/>
      <w:r>
        <w:rPr>
          <w:rFonts w:hint="eastAsia" w:ascii="宋体" w:hAnsi="宋体" w:eastAsia="宋体" w:cs="宋体"/>
          <w:b/>
          <w:color w:val="000000" w:themeColor="text1"/>
          <w:szCs w:val="21"/>
          <w:highlight w:val="none"/>
          <w14:textFill>
            <w14:solidFill>
              <w14:schemeClr w14:val="tx1"/>
            </w14:solidFill>
          </w14:textFill>
        </w:rPr>
        <w:t xml:space="preserve"> 踏勘现场</w:t>
      </w:r>
      <w:bookmarkEnd w:id="22"/>
      <w:bookmarkEnd w:id="23"/>
      <w:bookmarkEnd w:id="24"/>
      <w:bookmarkEnd w:id="25"/>
      <w:bookmarkEnd w:id="26"/>
      <w:bookmarkEnd w:id="27"/>
      <w:bookmarkEnd w:id="28"/>
    </w:p>
    <w:p w14:paraId="191AB87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9.1 投标人须知前附表规定组织踏勘现场的，</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 xml:space="preserve">按投标人须知前附表规定的时间、地点组织投标人踏勘项目现场。 </w:t>
      </w:r>
    </w:p>
    <w:p w14:paraId="6BBB0DA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9.2 投标人踏勘现场发生的费用自理。</w:t>
      </w:r>
    </w:p>
    <w:p w14:paraId="0C2C36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 除</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的原因外，投标人自行负责在踏勘现场中所发生的人员伤亡和财产损失。</w:t>
      </w:r>
    </w:p>
    <w:p w14:paraId="5B430D2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9.4 </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在踏勘现场中介绍的场地和相关的周边环境情况，供投标人在编制投标文件时参考，</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不对投标人据此作出的判断和决策负责。</w:t>
      </w:r>
      <w:bookmarkStart w:id="29" w:name="_Toc152042316"/>
      <w:bookmarkStart w:id="30" w:name="_Toc247592877"/>
      <w:bookmarkStart w:id="31" w:name="_Toc152045540"/>
      <w:bookmarkStart w:id="32" w:name="_Toc247513963"/>
      <w:bookmarkStart w:id="33" w:name="_Toc296602430"/>
      <w:bookmarkStart w:id="34" w:name="_Toc247527564"/>
      <w:bookmarkStart w:id="35" w:name="_Toc144974508"/>
    </w:p>
    <w:p w14:paraId="71EF853A">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 投标预备会</w:t>
      </w:r>
      <w:bookmarkEnd w:id="29"/>
      <w:bookmarkEnd w:id="30"/>
      <w:bookmarkEnd w:id="31"/>
      <w:bookmarkEnd w:id="32"/>
      <w:bookmarkEnd w:id="33"/>
      <w:bookmarkEnd w:id="34"/>
      <w:bookmarkEnd w:id="35"/>
      <w:r>
        <w:rPr>
          <w:rFonts w:hint="eastAsia" w:ascii="宋体" w:hAnsi="宋体" w:eastAsia="宋体" w:cs="宋体"/>
          <w:b/>
          <w:color w:val="000000" w:themeColor="text1"/>
          <w:szCs w:val="21"/>
          <w:highlight w:val="none"/>
          <w14:textFill>
            <w14:solidFill>
              <w14:schemeClr w14:val="tx1"/>
            </w14:solidFill>
          </w14:textFill>
        </w:rPr>
        <w:t>（本项目不采用）</w:t>
      </w:r>
    </w:p>
    <w:p w14:paraId="5FB0662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10.1投标人须知前附表规定召开投标预备会的，</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按投标人须知前附表规定的时间和地点召开投标预备会，澄清投标人提出的问题。</w:t>
      </w:r>
    </w:p>
    <w:p w14:paraId="196DBE49">
      <w:pPr>
        <w:keepNext w:val="0"/>
        <w:keepLines w:val="0"/>
        <w:pageBreakBefore w:val="0"/>
        <w:numPr>
          <w:ilvl w:val="0"/>
          <w:numId w:val="8"/>
        </w:numPr>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联合投标、合同分包（本项目不采用）</w:t>
      </w:r>
    </w:p>
    <w:p w14:paraId="6390FF5E">
      <w:pPr>
        <w:keepNext w:val="0"/>
        <w:keepLines w:val="0"/>
        <w:pageBreakBefore w:val="0"/>
        <w:numPr>
          <w:ilvl w:val="0"/>
          <w:numId w:val="0"/>
        </w:numP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w:t>
      </w:r>
      <w:r>
        <w:rPr>
          <w:rFonts w:hint="eastAsia" w:ascii="宋体" w:hAnsi="宋体" w:eastAsia="宋体" w:cs="宋体"/>
          <w:color w:val="000000" w:themeColor="text1"/>
          <w:highlight w:val="none"/>
          <w14:textFill>
            <w14:solidFill>
              <w14:schemeClr w14:val="tx1"/>
            </w14:solidFill>
          </w14:textFill>
        </w:rPr>
        <w:t>中华人民共和国政府采购法</w:t>
      </w:r>
      <w:r>
        <w:rPr>
          <w:rFonts w:hint="eastAsia" w:ascii="宋体" w:hAnsi="宋体" w:eastAsia="宋体" w:cs="宋体"/>
          <w:color w:val="000000" w:themeColor="text1"/>
          <w:szCs w:val="21"/>
          <w:highlight w:val="none"/>
          <w14:textFill>
            <w14:solidFill>
              <w14:schemeClr w14:val="tx1"/>
            </w14:solidFill>
          </w14:textFill>
        </w:rPr>
        <w:t>》第二十二条规定的条件。</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根据采购项目的特殊要求规定投标人特定条件的，联合体各方中至少应当有一方符合</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规定的特定条件。</w:t>
      </w:r>
    </w:p>
    <w:p w14:paraId="1E76C5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。联合体各方签订共同投标协议后，不得再以自己名义单独在同一项目中投标，也不得组成新的联合体参加同一项目投标。</w:t>
      </w:r>
    </w:p>
    <w:p w14:paraId="668E7D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14:paraId="36192B7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 联合体各方应当共同与</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签订采购合同，就采购合同约定的事项对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承担连带责任。</w:t>
      </w:r>
    </w:p>
    <w:p w14:paraId="27C5FF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 联合体中有同类资质的供应商按照联合体分工承担相同工作的，应当按照资质等级较低的供应商确定资质等级。</w:t>
      </w:r>
    </w:p>
    <w:p w14:paraId="73FE4194">
      <w:pPr>
        <w:pStyle w:val="36"/>
        <w:keepNext w:val="0"/>
        <w:keepLines w:val="0"/>
        <w:pageBreakBefore w:val="0"/>
        <w:kinsoku/>
        <w:wordWrap/>
        <w:overflowPunct/>
        <w:topLinePunct w:val="0"/>
        <w:autoSpaceDE/>
        <w:autoSpaceDN/>
        <w:bidi w:val="0"/>
        <w:adjustRightInd/>
        <w:spacing w:after="0" w:line="440" w:lineRule="exact"/>
        <w:ind w:left="0" w:leftChars="0" w:firstLine="420"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 非专门面向中小企业采购项目是否允许大中型企业向一家或者多家小微企业分包见投标人须知前附表。</w:t>
      </w:r>
    </w:p>
    <w:p w14:paraId="6DBD6CED">
      <w:pPr>
        <w:keepNext w:val="0"/>
        <w:keepLines w:val="0"/>
        <w:pageBreakBefore w:val="0"/>
        <w:kinsoku/>
        <w:wordWrap/>
        <w:overflowPunct/>
        <w:topLinePunct w:val="0"/>
        <w:autoSpaceDE/>
        <w:autoSpaceDN/>
        <w:bidi w:val="0"/>
        <w:adjustRightInd/>
        <w:spacing w:line="440" w:lineRule="exact"/>
        <w:ind w:firstLine="422" w:firstLineChars="20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12.招标代理费和</w:t>
      </w:r>
      <w:r>
        <w:rPr>
          <w:rFonts w:hint="eastAsia" w:ascii="宋体" w:hAnsi="宋体" w:eastAsia="宋体" w:cs="宋体"/>
          <w:b/>
          <w:color w:val="000000" w:themeColor="text1"/>
          <w:szCs w:val="21"/>
          <w:highlight w:val="none"/>
          <w:lang w:val="en-US" w:eastAsia="zh-CN"/>
          <w14:textFill>
            <w14:solidFill>
              <w14:schemeClr w14:val="tx1"/>
            </w14:solidFill>
          </w14:textFill>
        </w:rPr>
        <w:t>其他费用</w:t>
      </w:r>
    </w:p>
    <w:p w14:paraId="4C2057A3">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12.1</w:t>
      </w:r>
      <w:r>
        <w:rPr>
          <w:rFonts w:hint="eastAsia" w:ascii="宋体" w:hAnsi="宋体" w:eastAsia="宋体" w:cs="宋体"/>
          <w:color w:val="000000" w:themeColor="text1"/>
          <w:szCs w:val="21"/>
          <w:highlight w:val="none"/>
          <w14:textFill>
            <w14:solidFill>
              <w14:schemeClr w14:val="tx1"/>
            </w14:solidFill>
          </w14:textFill>
        </w:rPr>
        <w:t>见投标人须知前附表。</w:t>
      </w:r>
    </w:p>
    <w:p w14:paraId="62FFBAF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13.投标人应注意的事项</w:t>
      </w:r>
    </w:p>
    <w:p w14:paraId="46B5BD1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13.1投标人一旦参加投标，即被认为接受了本招标文件中的所有条件和规定。投标人必须严格按招标文件的要求编制投标文件，以便评委审核。否则，由此产生的一切后果由投标人承担。</w:t>
      </w:r>
    </w:p>
    <w:p w14:paraId="458EBB0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13.2投标人对采购内容中规定的技术参数、规格、数量和要求等必须最大限度的满足招标文件的相关要求。</w:t>
      </w:r>
    </w:p>
    <w:p w14:paraId="55A6B85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eastAsia="宋体" w:cs="宋体"/>
          <w:color w:val="000000" w:themeColor="text1"/>
          <w:szCs w:val="21"/>
          <w:highlight w:val="none"/>
          <w14:textFill>
            <w14:solidFill>
              <w14:schemeClr w14:val="tx1"/>
            </w14:solidFill>
          </w14:textFill>
        </w:rPr>
        <w:t>为采购项目提供整体设计、规范编制或者项目管理、监理、检测等服务的投标人，不得再参加该采购项目的其他采购活动。</w:t>
      </w:r>
    </w:p>
    <w:p w14:paraId="426B0532">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13.5 投标人被视为充分熟悉本招标项目所在地的与履行合同有关的各种情况，包括但不限于：</w:t>
      </w:r>
    </w:p>
    <w:p w14:paraId="24DFD3D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63C4A56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（2）安徽省及滁州市等有关管理部门的相关规定；</w:t>
      </w:r>
    </w:p>
    <w:p w14:paraId="34CFA31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的相关场地情况、基础建设、电力供应情况及相关设计标准。</w:t>
      </w:r>
    </w:p>
    <w:p w14:paraId="4A06F9C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本招标文件不再对上述情况进行描述。</w:t>
      </w:r>
    </w:p>
    <w:p w14:paraId="7A2D30B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中标候选人无正当理由放弃中标候选人资格的，其将被记不良信息记录。</w:t>
      </w:r>
    </w:p>
    <w:p w14:paraId="53EC0B87">
      <w:pPr>
        <w:spacing w:before="312" w:beforeLines="100" w:after="312" w:afterLines="100" w:line="440" w:lineRule="exact"/>
        <w:jc w:val="center"/>
        <w:rPr>
          <w:rFonts w:hint="eastAsia" w:ascii="宋体" w:hAnsi="宋体" w:cs="宋体"/>
          <w:b/>
          <w:color w:val="000000" w:themeColor="text1"/>
          <w:sz w:val="28"/>
          <w:szCs w:val="28"/>
          <w:highlight w:val="none"/>
          <w14:textFill>
            <w14:solidFill>
              <w14:schemeClr w14:val="tx1"/>
            </w14:solidFill>
          </w14:textFill>
        </w:rPr>
      </w:pPr>
      <w:bookmarkStart w:id="36" w:name="_Toc449028868"/>
      <w:r>
        <w:rPr>
          <w:rFonts w:hint="eastAsia" w:ascii="宋体" w:hAnsi="宋体" w:cs="宋体"/>
          <w:b/>
          <w:color w:val="000000" w:themeColor="text1"/>
          <w:sz w:val="28"/>
          <w:szCs w:val="28"/>
          <w:highlight w:val="none"/>
          <w14:textFill>
            <w14:solidFill>
              <w14:schemeClr w14:val="tx1"/>
            </w14:solidFill>
          </w14:textFill>
        </w:rPr>
        <w:t>（二）</w:t>
      </w:r>
      <w:bookmarkEnd w:id="36"/>
      <w:r>
        <w:rPr>
          <w:rFonts w:hint="eastAsia" w:ascii="宋体" w:hAnsi="宋体" w:cs="宋体"/>
          <w:b/>
          <w:color w:val="000000" w:themeColor="text1"/>
          <w:sz w:val="28"/>
          <w:szCs w:val="28"/>
          <w:highlight w:val="none"/>
          <w14:textFill>
            <w14:solidFill>
              <w14:schemeClr w14:val="tx1"/>
            </w14:solidFill>
          </w14:textFill>
        </w:rPr>
        <w:t>招标文件</w:t>
      </w:r>
    </w:p>
    <w:p w14:paraId="3087474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 招标文件的编制依据</w:t>
      </w:r>
    </w:p>
    <w:p w14:paraId="1C9EAC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pacing w:val="-2"/>
          <w:szCs w:val="21"/>
          <w:highlight w:val="none"/>
          <w14:textFill>
            <w14:solidFill>
              <w14:schemeClr w14:val="tx1"/>
            </w14:solidFill>
          </w14:textFill>
        </w:rPr>
        <w:t>相关法律法规和规章及部、省、市级规范性文件的规定，编制本招标文件。</w:t>
      </w:r>
    </w:p>
    <w:p w14:paraId="15F12B8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招标文件的组成</w:t>
      </w:r>
    </w:p>
    <w:p w14:paraId="797DABB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 招标文件包括内容：</w:t>
      </w:r>
    </w:p>
    <w:p w14:paraId="7CBCB9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第一章  </w:t>
      </w:r>
      <w:r>
        <w:rPr>
          <w:rFonts w:hint="eastAsia" w:ascii="宋体" w:hAnsi="宋体" w:cs="宋体"/>
          <w:color w:val="000000" w:themeColor="text1"/>
          <w:szCs w:val="21"/>
          <w:highlight w:val="none"/>
          <w:lang w:val="en-US" w:eastAsia="zh-CN"/>
          <w14:textFill>
            <w14:solidFill>
              <w14:schemeClr w14:val="tx1"/>
            </w14:solidFill>
          </w14:textFill>
        </w:rPr>
        <w:t>招标公告</w:t>
      </w:r>
    </w:p>
    <w:p w14:paraId="441AEC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投标人须知</w:t>
      </w:r>
    </w:p>
    <w:p w14:paraId="20D922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评标办法</w:t>
      </w:r>
    </w:p>
    <w:p w14:paraId="33371EE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采购需求</w:t>
      </w:r>
    </w:p>
    <w:p w14:paraId="09F0BF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合同条款</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参考）</w:t>
      </w:r>
    </w:p>
    <w:p w14:paraId="336906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27478D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 除15.1款内容外，招标答疑亦为招标文件的组成部分，对</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和投标人起约束作用。</w:t>
      </w:r>
    </w:p>
    <w:p w14:paraId="10BFD5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15.3投标人应仔细阅读和检查招标文件的全部内容。如发现缺页或附件不全，应及时向</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提出，以便补齐。</w:t>
      </w:r>
    </w:p>
    <w:p w14:paraId="3135726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 投标人</w:t>
      </w:r>
      <w:r>
        <w:rPr>
          <w:rFonts w:hint="eastAsia" w:ascii="宋体" w:hAnsi="宋体" w:cs="宋体"/>
          <w:color w:val="000000" w:themeColor="text1"/>
          <w:szCs w:val="21"/>
          <w:highlight w:val="none"/>
          <w:lang w:val="en-US" w:eastAsia="zh-CN"/>
          <w14:textFill>
            <w14:solidFill>
              <w14:schemeClr w14:val="tx1"/>
            </w14:solidFill>
          </w14:textFill>
        </w:rPr>
        <w:t>可以将疑问内容发送至603727167@qq.com，</w:t>
      </w:r>
      <w:r>
        <w:rPr>
          <w:rFonts w:hint="eastAsia" w:ascii="宋体" w:hAnsi="宋体" w:cs="宋体"/>
          <w:color w:val="000000" w:themeColor="text1"/>
          <w:szCs w:val="21"/>
          <w:highlight w:val="none"/>
          <w14:textFill>
            <w14:solidFill>
              <w14:schemeClr w14:val="tx1"/>
            </w14:solidFill>
          </w14:textFill>
        </w:rPr>
        <w:t>招标文件的澄清</w:t>
      </w:r>
      <w:r>
        <w:rPr>
          <w:rFonts w:hint="eastAsia" w:ascii="宋体" w:hAnsi="宋体" w:cs="宋体"/>
          <w:color w:val="000000" w:themeColor="text1"/>
          <w:szCs w:val="21"/>
          <w:highlight w:val="none"/>
          <w:lang w:val="en-US" w:eastAsia="zh-CN"/>
          <w14:textFill>
            <w14:solidFill>
              <w14:schemeClr w14:val="tx1"/>
            </w14:solidFill>
          </w14:textFill>
        </w:rPr>
        <w:t>将以更正公告形式在滁州扬子工业投资集团有限公司官网（https://czyzgtjt.com/）予以公布</w:t>
      </w:r>
      <w:r>
        <w:rPr>
          <w:rFonts w:hint="eastAsia" w:ascii="宋体" w:hAnsi="宋体" w:cs="宋体"/>
          <w:color w:val="000000" w:themeColor="text1"/>
          <w:szCs w:val="21"/>
          <w:highlight w:val="none"/>
          <w14:textFill>
            <w14:solidFill>
              <w14:schemeClr w14:val="tx1"/>
            </w14:solidFill>
          </w14:textFill>
        </w:rPr>
        <w:t>，但不指明澄清问题的来源。如果澄清内容影响投标文件编制的，将相应延长投标截止时间。</w:t>
      </w:r>
    </w:p>
    <w:p w14:paraId="031B0D9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16. 招标文件的修改、补充、解释</w:t>
      </w:r>
    </w:p>
    <w:p w14:paraId="557047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 招标文件发出后，</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在规定的投标截止时间前可对招标文件进行必要的修改和补充，并以更正公告形式</w:t>
      </w:r>
      <w:r>
        <w:rPr>
          <w:rFonts w:hint="eastAsia" w:ascii="宋体" w:hAnsi="宋体" w:cs="宋体"/>
          <w:color w:val="000000" w:themeColor="text1"/>
          <w:szCs w:val="21"/>
          <w:highlight w:val="none"/>
          <w:lang w:val="en-US" w:eastAsia="zh-CN"/>
          <w14:textFill>
            <w14:solidFill>
              <w14:schemeClr w14:val="tx1"/>
            </w14:solidFill>
          </w14:textFill>
        </w:rPr>
        <w:t>在滁州市扬子工业投资集团有限公司官网（https://czyzgtjt.com/）予以公布。</w:t>
      </w:r>
      <w:r>
        <w:rPr>
          <w:rFonts w:hint="eastAsia" w:ascii="宋体" w:hAnsi="宋体" w:cs="宋体"/>
          <w:color w:val="000000" w:themeColor="text1"/>
          <w:szCs w:val="21"/>
          <w:highlight w:val="none"/>
          <w14:textFill>
            <w14:solidFill>
              <w14:schemeClr w14:val="tx1"/>
            </w14:solidFill>
          </w14:textFill>
        </w:rPr>
        <w:t>请各位投标人注意查看有关澄清内容，如不及时查看造成后果由投标人自负。招标文件的修改、补充等内容作为招标文件的组成部分，具有约束作用。</w:t>
      </w:r>
    </w:p>
    <w:p w14:paraId="67ADC3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招标文件的解释</w:t>
      </w:r>
    </w:p>
    <w:p w14:paraId="72E41B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（1）构成本招标文件的各个组成文件应互为解释，互为说明；</w:t>
      </w:r>
    </w:p>
    <w:p w14:paraId="2370AA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（2）同一组成文件中就同一事项的规定或约定不一致的，以编排顺序在后者为准；</w:t>
      </w:r>
    </w:p>
    <w:p w14:paraId="64765D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65B5F9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（4）系统中提供的表格（或格式文件）与招标文件中不一致时，以招标文件中提供的为准；</w:t>
      </w:r>
    </w:p>
    <w:p w14:paraId="078E0E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（5）按本款前述规定仍不能形成结论的，由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（或其委托的采购代理机构）负责解释。</w:t>
      </w:r>
    </w:p>
    <w:p w14:paraId="5F92F7F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 招标文件的发出</w:t>
      </w:r>
    </w:p>
    <w:p w14:paraId="5C7981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17.1招标文件、招标文件的澄清、修改、补充及招标答疑等均应报公共资源交易监督管理机构备案后，方可发出。</w:t>
      </w:r>
    </w:p>
    <w:p w14:paraId="1C2B4EA1">
      <w:pPr>
        <w:spacing w:before="312" w:beforeLines="100" w:after="312" w:afterLines="100" w:line="440" w:lineRule="exact"/>
        <w:jc w:val="center"/>
        <w:rPr>
          <w:rFonts w:hint="eastAsia" w:ascii="宋体" w:hAnsi="宋体" w:cs="宋体"/>
          <w:b/>
          <w:color w:val="000000" w:themeColor="text1"/>
          <w:sz w:val="28"/>
          <w:szCs w:val="28"/>
          <w:highlight w:val="none"/>
          <w14:textFill>
            <w14:solidFill>
              <w14:schemeClr w14:val="tx1"/>
            </w14:solidFill>
          </w14:textFill>
        </w:rPr>
      </w:pPr>
      <w:bookmarkStart w:id="37" w:name="_Toc449028869"/>
      <w:r>
        <w:rPr>
          <w:rFonts w:hint="eastAsia" w:ascii="宋体" w:hAnsi="宋体" w:cs="宋体"/>
          <w:b/>
          <w:color w:val="000000" w:themeColor="text1"/>
          <w:sz w:val="28"/>
          <w:szCs w:val="28"/>
          <w:highlight w:val="none"/>
          <w14:textFill>
            <w14:solidFill>
              <w14:schemeClr w14:val="tx1"/>
            </w14:solidFill>
          </w14:textFill>
        </w:rPr>
        <w:t>（三）投标文件的编制</w:t>
      </w:r>
      <w:bookmarkEnd w:id="37"/>
    </w:p>
    <w:p w14:paraId="11DBF3B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.投标的语言及度量衡单位</w:t>
      </w:r>
    </w:p>
    <w:p w14:paraId="5E55F77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1投标人的投标文件、以及投标人与</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就投标的所有往来函电，均须使用简体中文。</w:t>
      </w:r>
    </w:p>
    <w:p w14:paraId="33BBE3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2除招标文件中另有规定外，投标文件所使用的度量衡均须采用法定计量单位。</w:t>
      </w:r>
    </w:p>
    <w:p w14:paraId="3449A44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19</w:t>
      </w:r>
      <w:r>
        <w:rPr>
          <w:rFonts w:hint="eastAsia" w:ascii="宋体" w:hAnsi="宋体" w:cs="宋体"/>
          <w:b/>
          <w:color w:val="000000" w:themeColor="text1"/>
          <w:szCs w:val="21"/>
          <w:highlight w:val="none"/>
          <w14:textFill>
            <w14:solidFill>
              <w14:schemeClr w14:val="tx1"/>
            </w14:solidFill>
          </w14:textFill>
        </w:rPr>
        <w:t>.投标文件的组成</w:t>
      </w:r>
    </w:p>
    <w:p w14:paraId="7C4A63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具体内容详见第六章投标文件格式内容。</w:t>
      </w:r>
    </w:p>
    <w:p w14:paraId="59AB93A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投标报价</w:t>
      </w:r>
    </w:p>
    <w:p w14:paraId="3EEF9F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.1投标报价文件中</w:t>
      </w:r>
      <w:r>
        <w:rPr>
          <w:rFonts w:hint="eastAsia" w:ascii="宋体" w:hAnsi="宋体" w:cs="宋体"/>
          <w:color w:val="000000" w:themeColor="text1"/>
          <w:szCs w:val="21"/>
          <w:highlight w:val="none"/>
          <w:lang w:val="en-US" w:eastAsia="zh-CN"/>
          <w14:textFill>
            <w14:solidFill>
              <w14:schemeClr w14:val="tx1"/>
            </w14:solidFill>
          </w14:textFill>
        </w:rPr>
        <w:t>报价</w:t>
      </w:r>
      <w:r>
        <w:rPr>
          <w:rFonts w:hint="eastAsia" w:ascii="宋体" w:hAnsi="宋体" w:cs="宋体"/>
          <w:color w:val="000000" w:themeColor="text1"/>
          <w:szCs w:val="21"/>
          <w:highlight w:val="none"/>
          <w14:textFill>
            <w14:solidFill>
              <w14:schemeClr w14:val="tx1"/>
            </w14:solidFill>
          </w14:textFill>
        </w:rPr>
        <w:t>采用人民币表示。投标人的报价应含有服务（货物）、利润、税金、政策性文件规定及合同包含的所有风险、责任、义务等，即为完成招标文件要求的服务（货物）内容所包含的一切应有费用，中标价格今后将不作任何调整，</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后期不再追加费用，投标供应商自行考虑投标风险。</w:t>
      </w:r>
    </w:p>
    <w:p w14:paraId="7DCE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投标人只允许有一个方案、一个报价。</w:t>
      </w:r>
    </w:p>
    <w:p w14:paraId="42EA4FD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投标报价应由法定代表人或被授权人签署。</w:t>
      </w:r>
    </w:p>
    <w:p w14:paraId="57E30F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0</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6B50143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 投标有效期</w:t>
      </w:r>
    </w:p>
    <w:p w14:paraId="500F4BC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 投标有效期见投标人须知前附表。</w:t>
      </w:r>
    </w:p>
    <w:p w14:paraId="634821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.2在投标有效期内，投标人撤销或修改其投标文件的，应承担招标文件和法律规定的责任。</w:t>
      </w:r>
    </w:p>
    <w:p w14:paraId="258D4D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.3出现特殊情况需要延长投标有效期的，</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以书面形式通知所有投标人延长投标有效期。投标人同意延长的，不得要求或被允许修改或撤销其投标文件；投标人拒绝延长的，其投标失效。</w:t>
      </w:r>
    </w:p>
    <w:p w14:paraId="7D2743E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投标保证金</w:t>
      </w:r>
    </w:p>
    <w:p w14:paraId="445F77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.1本项目不缴纳投标保证金。</w:t>
      </w:r>
    </w:p>
    <w:p w14:paraId="35951FBA">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38" w:name="_Toc449028870"/>
      <w:r>
        <w:rPr>
          <w:rFonts w:hint="eastAsia" w:ascii="宋体" w:hAnsi="宋体" w:eastAsia="宋体" w:cs="宋体"/>
          <w:b/>
          <w:color w:val="000000" w:themeColor="text1"/>
          <w:sz w:val="28"/>
          <w:szCs w:val="28"/>
          <w:highlight w:val="none"/>
          <w14:textFill>
            <w14:solidFill>
              <w14:schemeClr w14:val="tx1"/>
            </w14:solidFill>
          </w14:textFill>
        </w:rPr>
        <w:t>（四）投标文件的递交</w:t>
      </w:r>
      <w:bookmarkEnd w:id="38"/>
    </w:p>
    <w:p w14:paraId="4E8134E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 投标文件的份数和签署</w:t>
      </w:r>
    </w:p>
    <w:p w14:paraId="007772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bookmarkStart w:id="39" w:name="_Toc449028871"/>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投标文件份数：正本一份，副本一份</w:t>
      </w:r>
      <w:r>
        <w:rPr>
          <w:rFonts w:hint="eastAsia" w:ascii="宋体" w:hAnsi="宋体" w:cs="宋体"/>
          <w:color w:val="000000" w:themeColor="text1"/>
          <w:szCs w:val="21"/>
          <w:highlight w:val="none"/>
          <w14:textFill>
            <w14:solidFill>
              <w14:schemeClr w14:val="tx1"/>
            </w14:solidFill>
          </w14:textFill>
        </w:rPr>
        <w:t>。</w:t>
      </w:r>
    </w:p>
    <w:p w14:paraId="37A37A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23.2投标文件须按格式文件要求签字或盖章，否则经评委会一致认定后, 按照无效投标处理。</w:t>
      </w:r>
    </w:p>
    <w:p w14:paraId="0DB363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 投标文件的提交</w:t>
      </w:r>
    </w:p>
    <w:p w14:paraId="5BD0D0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投标人应在投标截止时间前将投标文件递交至招标人或招标代理机构。</w:t>
      </w:r>
    </w:p>
    <w:p w14:paraId="2689C8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w:t>
      </w:r>
      <w:r>
        <w:rPr>
          <w:rFonts w:hint="eastAsia" w:ascii="宋体" w:hAnsi="宋体" w:cs="宋体"/>
          <w:color w:val="000000" w:themeColor="text1"/>
          <w:szCs w:val="21"/>
          <w:highlight w:val="none"/>
          <w14:textFill>
            <w14:solidFill>
              <w14:schemeClr w14:val="tx1"/>
            </w14:solidFill>
          </w14:textFill>
        </w:rPr>
        <w:t>标人应当在投标截止时间前完成投标文件的递交， 并可以补充、修改或者撤回投标文件。投标截止时间前未完成投标文件递交的，视为撤回投标文件。未按规定</w:t>
      </w:r>
      <w:r>
        <w:rPr>
          <w:rFonts w:hint="eastAsia" w:ascii="宋体" w:hAnsi="宋体" w:cs="宋体"/>
          <w:color w:val="000000" w:themeColor="text1"/>
          <w:szCs w:val="21"/>
          <w:highlight w:val="none"/>
          <w:lang w:val="en-US" w:eastAsia="zh-CN"/>
          <w14:textFill>
            <w14:solidFill>
              <w14:schemeClr w14:val="tx1"/>
            </w14:solidFill>
          </w14:textFill>
        </w:rPr>
        <w:t>密封</w:t>
      </w:r>
      <w:r>
        <w:rPr>
          <w:rFonts w:hint="eastAsia" w:ascii="宋体" w:hAnsi="宋体" w:cs="宋体"/>
          <w:color w:val="000000" w:themeColor="text1"/>
          <w:szCs w:val="21"/>
          <w:highlight w:val="none"/>
          <w14:textFill>
            <w14:solidFill>
              <w14:schemeClr w14:val="tx1"/>
            </w14:solidFill>
          </w14:textFill>
        </w:rPr>
        <w:t>或投标截止时间后递交投标文件的，应当拒收，投标无效。</w:t>
      </w:r>
    </w:p>
    <w:p w14:paraId="38EA15A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．投标文件的修改与撤回</w:t>
      </w:r>
    </w:p>
    <w:p w14:paraId="2066F0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2</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14:textFill>
            <w14:solidFill>
              <w14:schemeClr w14:val="tx1"/>
            </w14:solidFill>
          </w14:textFill>
        </w:rPr>
        <w:t>.1</w:t>
      </w:r>
      <w:r>
        <w:rPr>
          <w:rFonts w:hint="eastAsia" w:ascii="宋体" w:hAnsi="宋体" w:eastAsia="宋体" w:cs="宋体"/>
          <w:b w:val="0"/>
          <w:bCs w:val="0"/>
          <w:color w:val="000000" w:themeColor="text1"/>
          <w:szCs w:val="21"/>
          <w:highlight w:val="none"/>
          <w14:textFill>
            <w14:solidFill>
              <w14:schemeClr w14:val="tx1"/>
            </w14:solidFill>
          </w14:textFill>
        </w:rPr>
        <w:t>在规定的投标截止时间前，投标人可以自行撤回已递交的投标文件，并可修改后重新</w:t>
      </w:r>
      <w:r>
        <w:rPr>
          <w:rFonts w:hint="eastAsia" w:ascii="宋体" w:hAnsi="宋体" w:cs="宋体"/>
          <w:b w:val="0"/>
          <w:bCs w:val="0"/>
          <w:color w:val="000000" w:themeColor="text1"/>
          <w:szCs w:val="21"/>
          <w:highlight w:val="none"/>
          <w:lang w:val="en-US" w:eastAsia="zh-CN"/>
          <w14:textFill>
            <w14:solidFill>
              <w14:schemeClr w14:val="tx1"/>
            </w14:solidFill>
          </w14:textFill>
        </w:rPr>
        <w:t>递交</w:t>
      </w:r>
      <w:r>
        <w:rPr>
          <w:rFonts w:hint="eastAsia" w:ascii="宋体" w:hAnsi="宋体" w:eastAsia="宋体" w:cs="宋体"/>
          <w:b w:val="0"/>
          <w:bCs w:val="0"/>
          <w:color w:val="000000" w:themeColor="text1"/>
          <w:szCs w:val="21"/>
          <w:highlight w:val="none"/>
          <w14:textFill>
            <w14:solidFill>
              <w14:schemeClr w14:val="tx1"/>
            </w14:solidFill>
          </w14:textFill>
        </w:rPr>
        <w:t>，开标时以投标截止时间前投标人最终</w:t>
      </w:r>
      <w:r>
        <w:rPr>
          <w:rFonts w:hint="eastAsia" w:ascii="宋体" w:hAnsi="宋体" w:cs="宋体"/>
          <w:b w:val="0"/>
          <w:bCs w:val="0"/>
          <w:color w:val="000000" w:themeColor="text1"/>
          <w:szCs w:val="21"/>
          <w:highlight w:val="none"/>
          <w:lang w:val="en-US" w:eastAsia="zh-CN"/>
          <w14:textFill>
            <w14:solidFill>
              <w14:schemeClr w14:val="tx1"/>
            </w14:solidFill>
          </w14:textFill>
        </w:rPr>
        <w:t>递交</w:t>
      </w:r>
      <w:r>
        <w:rPr>
          <w:rFonts w:hint="eastAsia" w:ascii="宋体" w:hAnsi="宋体" w:eastAsia="宋体" w:cs="宋体"/>
          <w:b w:val="0"/>
          <w:bCs w:val="0"/>
          <w:color w:val="000000" w:themeColor="text1"/>
          <w:szCs w:val="21"/>
          <w:highlight w:val="none"/>
          <w14:textFill>
            <w14:solidFill>
              <w14:schemeClr w14:val="tx1"/>
            </w14:solidFill>
          </w14:textFill>
        </w:rPr>
        <w:t>的投标文件为准。</w:t>
      </w:r>
    </w:p>
    <w:p w14:paraId="49A5D768">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（五）开标、评标和定标</w:t>
      </w:r>
      <w:bookmarkEnd w:id="39"/>
    </w:p>
    <w:p w14:paraId="1C17E632">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 开标</w:t>
      </w:r>
    </w:p>
    <w:p w14:paraId="305E570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.1开标的时间和地点</w:t>
      </w:r>
    </w:p>
    <w:p w14:paraId="389E8B2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.1.1招标人在投标人须知前附表规定的投标截止时间（开标时间）和地点公开开标。</w:t>
      </w:r>
    </w:p>
    <w:p w14:paraId="543B5AE4">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开标程序</w:t>
      </w:r>
    </w:p>
    <w:p w14:paraId="7289A5E3">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开标会议由采购代理机构主持。 </w:t>
      </w:r>
    </w:p>
    <w:p w14:paraId="426CF4C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0" w:name="_Toc15058877"/>
      <w:r>
        <w:rPr>
          <w:rFonts w:hint="eastAsia" w:ascii="宋体" w:hAnsi="宋体" w:eastAsia="宋体" w:cs="宋体"/>
          <w:color w:val="000000" w:themeColor="text1"/>
          <w:szCs w:val="21"/>
          <w:highlight w:val="none"/>
          <w14:textFill>
            <w14:solidFill>
              <w14:schemeClr w14:val="tx1"/>
            </w14:solidFill>
          </w14:textFill>
        </w:rPr>
        <w:t>（1）宣布开标纪律；</w:t>
      </w:r>
      <w:bookmarkEnd w:id="40"/>
    </w:p>
    <w:p w14:paraId="6521FD7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1" w:name="_Toc15058878"/>
      <w:r>
        <w:rPr>
          <w:rFonts w:hint="eastAsia" w:ascii="宋体" w:hAnsi="宋体" w:eastAsia="宋体" w:cs="宋体"/>
          <w:color w:val="000000" w:themeColor="text1"/>
          <w:szCs w:val="21"/>
          <w:highlight w:val="none"/>
          <w14:textFill>
            <w14:solidFill>
              <w14:schemeClr w14:val="tx1"/>
            </w14:solidFill>
          </w14:textFill>
        </w:rPr>
        <w:t>（2）宣布招标人、代理机构主持人等有关人员姓名；</w:t>
      </w:r>
      <w:bookmarkEnd w:id="41"/>
    </w:p>
    <w:p w14:paraId="18AFA2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2" w:name="_Toc15058879"/>
      <w:r>
        <w:rPr>
          <w:rFonts w:hint="eastAsia" w:ascii="宋体" w:hAnsi="宋体" w:eastAsia="宋体" w:cs="宋体"/>
          <w:color w:val="000000" w:themeColor="text1"/>
          <w:szCs w:val="21"/>
          <w:highlight w:val="none"/>
          <w14:textFill>
            <w14:solidFill>
              <w14:schemeClr w14:val="tx1"/>
            </w14:solidFill>
          </w14:textFill>
        </w:rPr>
        <w:t>（3）公布递交投标文件的投标人名称等；</w:t>
      </w:r>
      <w:bookmarkEnd w:id="42"/>
      <w:r>
        <w:rPr>
          <w:rFonts w:hint="eastAsia" w:ascii="宋体" w:hAnsi="宋体" w:eastAsia="宋体" w:cs="宋体"/>
          <w:color w:val="000000" w:themeColor="text1"/>
          <w:szCs w:val="21"/>
          <w:highlight w:val="none"/>
          <w14:textFill>
            <w14:solidFill>
              <w14:schemeClr w14:val="tx1"/>
            </w14:solidFill>
          </w14:textFill>
        </w:rPr>
        <w:t xml:space="preserve"> </w:t>
      </w:r>
    </w:p>
    <w:p w14:paraId="016BC1E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43" w:name="_Toc15058880"/>
      <w:r>
        <w:rPr>
          <w:rFonts w:hint="eastAsia" w:ascii="宋体" w:hAnsi="宋体" w:eastAsia="宋体" w:cs="宋体"/>
          <w:color w:val="000000" w:themeColor="text1"/>
          <w:szCs w:val="21"/>
          <w:highlight w:val="none"/>
          <w14:textFill>
            <w14:solidFill>
              <w14:schemeClr w14:val="tx1"/>
            </w14:solidFill>
          </w14:textFill>
        </w:rPr>
        <w:t>（4）公布投标人投标报价、工期及其他内容，并记录在案</w:t>
      </w:r>
      <w:r>
        <w:rPr>
          <w:rFonts w:hint="eastAsia" w:ascii="宋体" w:hAnsi="宋体" w:eastAsia="宋体" w:cs="宋体"/>
          <w:color w:val="000000" w:themeColor="text1"/>
          <w:szCs w:val="21"/>
          <w:highlight w:val="none"/>
          <w:lang w:eastAsia="zh-CN"/>
          <w14:textFill>
            <w14:solidFill>
              <w14:schemeClr w14:val="tx1"/>
            </w14:solidFill>
          </w14:textFill>
        </w:rPr>
        <w:t>；</w:t>
      </w:r>
      <w:bookmarkEnd w:id="43"/>
      <w:bookmarkStart w:id="44" w:name="_Toc15058881"/>
    </w:p>
    <w:p w14:paraId="471682C4">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End w:id="44"/>
      <w:r>
        <w:rPr>
          <w:rFonts w:hint="eastAsia" w:ascii="宋体" w:hAnsi="宋体" w:eastAsia="宋体" w:cs="宋体"/>
          <w:color w:val="000000" w:themeColor="text1"/>
          <w:szCs w:val="21"/>
          <w:highlight w:val="none"/>
          <w:lang w:val="en-US" w:eastAsia="zh-CN"/>
          <w14:textFill>
            <w14:solidFill>
              <w14:schemeClr w14:val="tx1"/>
            </w14:solidFill>
          </w14:textFill>
        </w:rPr>
        <w:t>评标委员会对投标文件进行评审，公布评审结果</w:t>
      </w:r>
      <w:r>
        <w:rPr>
          <w:rFonts w:hint="eastAsia" w:ascii="宋体" w:hAnsi="宋体" w:eastAsia="宋体" w:cs="宋体"/>
          <w:color w:val="000000" w:themeColor="text1"/>
          <w:szCs w:val="21"/>
          <w:highlight w:val="none"/>
          <w14:textFill>
            <w14:solidFill>
              <w14:schemeClr w14:val="tx1"/>
            </w14:solidFill>
          </w14:textFill>
        </w:rPr>
        <w:t>；</w:t>
      </w:r>
    </w:p>
    <w:p w14:paraId="6F55B94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5" w:name="_Toc15058882"/>
      <w:r>
        <w:rPr>
          <w:rFonts w:hint="eastAsia" w:ascii="宋体" w:hAnsi="宋体" w:eastAsia="宋体" w:cs="宋体"/>
          <w:color w:val="000000" w:themeColor="text1"/>
          <w:szCs w:val="21"/>
          <w:highlight w:val="none"/>
          <w14:textFill>
            <w14:solidFill>
              <w14:schemeClr w14:val="tx1"/>
            </w14:solidFill>
          </w14:textFill>
        </w:rPr>
        <w:t>（6）开标结束。</w:t>
      </w:r>
      <w:bookmarkEnd w:id="45"/>
    </w:p>
    <w:p w14:paraId="7E535077">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.4开标异议</w:t>
      </w:r>
    </w:p>
    <w:p w14:paraId="61A3FD8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投标人对开标有异议的，应当在开标</w:t>
      </w:r>
      <w:r>
        <w:rPr>
          <w:rFonts w:hint="eastAsia" w:ascii="宋体" w:hAnsi="宋体" w:cs="宋体"/>
          <w:color w:val="000000" w:themeColor="text1"/>
          <w:szCs w:val="21"/>
          <w:highlight w:val="none"/>
          <w:lang w:val="en-US" w:eastAsia="zh-CN"/>
          <w14:textFill>
            <w14:solidFill>
              <w14:schemeClr w14:val="tx1"/>
            </w14:solidFill>
          </w14:textFill>
        </w:rPr>
        <w:t>现场</w:t>
      </w:r>
      <w:r>
        <w:rPr>
          <w:rFonts w:hint="eastAsia" w:ascii="宋体" w:hAnsi="宋体" w:cs="宋体"/>
          <w:color w:val="000000" w:themeColor="text1"/>
          <w:szCs w:val="21"/>
          <w:highlight w:val="none"/>
          <w14:textFill>
            <w14:solidFill>
              <w14:schemeClr w14:val="tx1"/>
            </w14:solidFill>
          </w14:textFill>
        </w:rPr>
        <w:t>提出，招标人当场作出答复，并制作记录。</w:t>
      </w:r>
    </w:p>
    <w:p w14:paraId="51D057A6">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.评标委员会</w:t>
      </w:r>
    </w:p>
    <w:p w14:paraId="23F5480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  评标委员会的组成</w:t>
      </w:r>
    </w:p>
    <w:p w14:paraId="34A543F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.1.1评标由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依法组建的评标委员会负责。</w:t>
      </w:r>
    </w:p>
    <w:p w14:paraId="1E389BE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.1.2评标委员会负责人依法推荐或确定。</w:t>
      </w:r>
    </w:p>
    <w:p w14:paraId="7E64B60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27.2</w:t>
      </w:r>
      <w:r>
        <w:rPr>
          <w:rFonts w:hint="eastAsia" w:ascii="宋体" w:hAnsi="宋体" w:eastAsia="宋体" w:cs="宋体"/>
          <w:color w:val="000000" w:themeColor="text1"/>
          <w:sz w:val="21"/>
          <w:szCs w:val="21"/>
          <w:highlight w:val="none"/>
          <w14:textFill>
            <w14:solidFill>
              <w14:schemeClr w14:val="tx1"/>
            </w14:solidFill>
          </w14:textFill>
        </w:rPr>
        <w:t>评标委员会成员名单在中标结果确定前应当保密。</w:t>
      </w:r>
    </w:p>
    <w:p w14:paraId="4B33CFD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27.3</w:t>
      </w:r>
      <w:r>
        <w:rPr>
          <w:rFonts w:hint="eastAsia" w:ascii="宋体" w:hAnsi="宋体" w:eastAsia="宋体" w:cs="宋体"/>
          <w:color w:val="000000" w:themeColor="text1"/>
          <w:sz w:val="21"/>
          <w:szCs w:val="21"/>
          <w:highlight w:val="none"/>
          <w14:textFill>
            <w14:solidFill>
              <w14:schemeClr w14:val="tx1"/>
            </w14:solidFill>
          </w14:textFill>
        </w:rPr>
        <w:t>评标委员会成员有下述情形的，应当主动提出回避：</w:t>
      </w:r>
    </w:p>
    <w:p w14:paraId="35F7FDB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（1）供应商或供应商主要负责人的近亲属；</w:t>
      </w:r>
    </w:p>
    <w:p w14:paraId="399C676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（2）项目主管部门或者行政监督部门的人员；</w:t>
      </w:r>
    </w:p>
    <w:p w14:paraId="316EA37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（3）与供应商有经济利益关系；</w:t>
      </w:r>
    </w:p>
    <w:p w14:paraId="5D6A0B5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（4）曾因在招标、评标以及其他与招标投标有关活动中从事违法行为而受过行政处罚或刑事处罚的；</w:t>
      </w:r>
    </w:p>
    <w:p w14:paraId="66E347F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（5）与供应商有其他利害关系。</w:t>
      </w:r>
    </w:p>
    <w:p w14:paraId="02FFF5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27.4</w:t>
      </w:r>
      <w:r>
        <w:rPr>
          <w:rFonts w:hint="eastAsia" w:ascii="宋体" w:hAnsi="宋体" w:eastAsia="宋体" w:cs="宋体"/>
          <w:color w:val="000000" w:themeColor="text1"/>
          <w:sz w:val="21"/>
          <w:szCs w:val="21"/>
          <w:highlight w:val="none"/>
          <w14:textFill>
            <w14:solidFill>
              <w14:schemeClr w14:val="tx1"/>
            </w14:solidFill>
          </w14:textFill>
        </w:rPr>
        <w:t>评标委员会应当向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提出书面评标报告，并抄送有关行政监督部门。评标报告应当如实记载以下内容：</w:t>
      </w:r>
    </w:p>
    <w:p w14:paraId="278132F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（1）基本情况和数据表；</w:t>
      </w:r>
    </w:p>
    <w:p w14:paraId="45C6D2B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（2）评标委员会成员名单；</w:t>
      </w:r>
    </w:p>
    <w:p w14:paraId="03C4C77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（3）开标记录；</w:t>
      </w:r>
    </w:p>
    <w:p w14:paraId="79BBDD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（4）符合要求的供应商一览表；</w:t>
      </w:r>
    </w:p>
    <w:p w14:paraId="6137CF0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（5）无效情况说明；</w:t>
      </w:r>
    </w:p>
    <w:p w14:paraId="6806827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（6）评标标准、评标方法或者评标因素一览表；</w:t>
      </w:r>
    </w:p>
    <w:p w14:paraId="67CA8C1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（7）经评审的价格或者评分比较一览表；</w:t>
      </w:r>
    </w:p>
    <w:p w14:paraId="0B99038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（8）供应商串标、围标等违规行为的确认报告；</w:t>
      </w:r>
    </w:p>
    <w:p w14:paraId="16195BE2">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（9）经评审的供应商排序；</w:t>
      </w:r>
    </w:p>
    <w:p w14:paraId="7B70826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（10）推荐的中标候选人名单；</w:t>
      </w:r>
    </w:p>
    <w:p w14:paraId="00A447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（11）澄清、说明、补正事项纪要。</w:t>
      </w:r>
    </w:p>
    <w:p w14:paraId="4F3F49C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.5评标委员会接受</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授权对供应商资格进行审查。</w:t>
      </w:r>
    </w:p>
    <w:p w14:paraId="3ADDDFB7">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.6评标委员会应自觉接受有关监督管理部门的现场监督，评标委员会成</w:t>
      </w:r>
      <w:r>
        <w:rPr>
          <w:rFonts w:hint="eastAsia" w:ascii="宋体" w:hAnsi="宋体" w:eastAsia="宋体" w:cs="宋体"/>
          <w:color w:val="000000" w:themeColor="text1"/>
          <w:sz w:val="21"/>
          <w:szCs w:val="21"/>
          <w:highlight w:val="none"/>
          <w:lang w:eastAsia="zh-CN"/>
          <w14:textFill>
            <w14:solidFill>
              <w14:schemeClr w14:val="tx1"/>
            </w14:solidFill>
          </w14:textFill>
        </w:rPr>
        <w:t>员和</w:t>
      </w:r>
      <w:r>
        <w:rPr>
          <w:rFonts w:hint="eastAsia" w:ascii="宋体" w:hAnsi="宋体" w:eastAsia="宋体" w:cs="宋体"/>
          <w:color w:val="000000" w:themeColor="text1"/>
          <w:sz w:val="21"/>
          <w:szCs w:val="21"/>
          <w:highlight w:val="none"/>
          <w14:textFill>
            <w14:solidFill>
              <w14:schemeClr w14:val="tx1"/>
            </w14:solidFill>
          </w14:textFill>
        </w:rPr>
        <w:t>与评标活动有关的工作人员和监督人员不得向他人透露对投标文件的评审和比较、中标候选人的推荐以及与评标有关的其他情况。投标文件及与评标有关的资料应当保密。</w:t>
      </w:r>
    </w:p>
    <w:p w14:paraId="1FE93A2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 评标</w:t>
      </w:r>
    </w:p>
    <w:p w14:paraId="7E999B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.1评标准备工作</w:t>
      </w:r>
    </w:p>
    <w:p w14:paraId="6811C5E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.1.1阅读由</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或招标代理单位编写的招标项目情况的说明材料；</w:t>
      </w:r>
    </w:p>
    <w:p w14:paraId="4B770C2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.1.2阅读、研究招标文件和相关评标资料，获取评标所需要的重要信息和数据；</w:t>
      </w:r>
    </w:p>
    <w:p w14:paraId="29DE4DAB">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.1.3熟悉招标文件规定的评标方法及在评标过程中需要考虑的相关因素；</w:t>
      </w:r>
    </w:p>
    <w:p w14:paraId="51029DC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.1.4核对评标工作用表。</w:t>
      </w:r>
    </w:p>
    <w:p w14:paraId="663AD5C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.2评标办法</w:t>
      </w:r>
    </w:p>
    <w:p w14:paraId="6BC0DDB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小组按照第三章“评标办法”规定的方法、评审因素、标准和程序对投标文件进行评审。第三章“评标办法”没有规定的方法、评审因素和标准，不作为评标依据。</w:t>
      </w:r>
    </w:p>
    <w:p w14:paraId="41B44F7D">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.2.2评标原则：遵循公平、公正、科学和择优的原则。</w:t>
      </w:r>
    </w:p>
    <w:p w14:paraId="3FA097F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.3投标文件的澄清</w:t>
      </w:r>
    </w:p>
    <w:p w14:paraId="281CFE8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.3.1在评审过程中，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认为需要，可要求投标人对投标文件中的有关问题进行澄清或提供补充说明及有关资料，投标人应做出书面答复。</w:t>
      </w:r>
    </w:p>
    <w:p w14:paraId="1F19991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.3.2书面答复须经投标人法定代表人或其委托代理人签字或盖章，签字或盖章的书面答复将被视为投标文件的组成部分。</w:t>
      </w:r>
    </w:p>
    <w:p w14:paraId="40273E6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.4报价合理性的判断</w:t>
      </w:r>
    </w:p>
    <w:p w14:paraId="36CABB4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应当将其作为无效投标处理。</w:t>
      </w:r>
    </w:p>
    <w:p w14:paraId="288D5E3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.5评审意见分歧的处理办法</w:t>
      </w:r>
    </w:p>
    <w:p w14:paraId="792C615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应当对投标人提供的报告、证明材料及详细说明认真研究。对存在意见分歧的，可采用投票方式表决决定（按多数评委意见为准）；</w:t>
      </w:r>
    </w:p>
    <w:p w14:paraId="7FDF0571">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.6评标报告的签署</w:t>
      </w:r>
    </w:p>
    <w:p w14:paraId="4790D8F3">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应当编制书面评标报告,所有成员应签字确认。对评标结论持有异议的</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成员可以书面方式阐述其不同意见和理由。</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成员拒绝在评标报告上签字且不陈述其不同意见和理由的，视为同意评标结论。</w:t>
      </w:r>
    </w:p>
    <w:p w14:paraId="713142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.7评标过程的保密</w:t>
      </w:r>
    </w:p>
    <w:p w14:paraId="16608DB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lang w:val="en-US" w:eastAsia="zh-CN"/>
          <w14:textFill>
            <w14:solidFill>
              <w14:schemeClr w14:val="tx1"/>
            </w14:solidFill>
          </w14:textFill>
        </w:rPr>
        <w:t>成</w:t>
      </w:r>
      <w:r>
        <w:rPr>
          <w:rFonts w:hint="eastAsia" w:ascii="宋体" w:hAnsi="宋体" w:eastAsia="宋体" w:cs="宋体"/>
          <w:color w:val="000000" w:themeColor="text1"/>
          <w:sz w:val="21"/>
          <w:szCs w:val="21"/>
          <w:highlight w:val="none"/>
          <w14:textFill>
            <w14:solidFill>
              <w14:schemeClr w14:val="tx1"/>
            </w14:solidFill>
          </w14:textFill>
        </w:rPr>
        <w:t xml:space="preserve">员和与评标活动有关的工作人员不得透露对投标文件的评审和比较、中标候选人的推荐情况以及与评标有关的其他情况。 </w:t>
      </w:r>
    </w:p>
    <w:p w14:paraId="35C868A8">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29</w:t>
      </w:r>
      <w:r>
        <w:rPr>
          <w:rFonts w:hint="eastAsia" w:ascii="宋体" w:hAnsi="宋体" w:cs="宋体"/>
          <w:b/>
          <w:color w:val="000000" w:themeColor="text1"/>
          <w:szCs w:val="21"/>
          <w:highlight w:val="none"/>
          <w14:textFill>
            <w14:solidFill>
              <w14:schemeClr w14:val="tx1"/>
            </w14:solidFill>
          </w14:textFill>
        </w:rPr>
        <w:t>. 定标</w:t>
      </w:r>
    </w:p>
    <w:p w14:paraId="07ECDBE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t>.1 中标人的确定</w:t>
      </w:r>
    </w:p>
    <w:p w14:paraId="520D50F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依据评标委员会推荐的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第一</w:t>
      </w:r>
      <w:r>
        <w:rPr>
          <w:rFonts w:hint="eastAsia" w:ascii="宋体" w:hAnsi="宋体" w:eastAsia="宋体" w:cs="宋体"/>
          <w:color w:val="000000" w:themeColor="text1"/>
          <w:sz w:val="21"/>
          <w:szCs w:val="21"/>
          <w:highlight w:val="none"/>
          <w14:textFill>
            <w14:solidFill>
              <w14:schemeClr w14:val="tx1"/>
            </w14:solidFill>
          </w14:textFill>
        </w:rPr>
        <w:t>中标候选人确定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中标人，排名第一的中标候选人放弃中标、因不可抗力提出不能履约合同，或者招标文件规定应当提交履约保证金而在规定的期限内未能提交的或存在弄虚作假等其他违法行为骗取中标的，或合同履行过程中，被终止协议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可以确定排名第二的中标候选人为中标人，</w:t>
      </w:r>
      <w:r>
        <w:rPr>
          <w:rFonts w:hint="eastAsia" w:ascii="宋体" w:hAnsi="宋体" w:eastAsia="宋体" w:cs="宋体"/>
          <w:color w:val="000000" w:themeColor="text1"/>
          <w:sz w:val="21"/>
          <w:szCs w:val="21"/>
          <w:highlight w:val="none"/>
          <w:lang w:eastAsia="zh-CN"/>
          <w14:textFill>
            <w14:solidFill>
              <w14:schemeClr w14:val="tx1"/>
            </w14:solidFill>
          </w14:textFill>
        </w:rPr>
        <w:t>以此类推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也可依法重新组织招标。</w:t>
      </w:r>
    </w:p>
    <w:p w14:paraId="5B30AC4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29.1.2</w:t>
      </w:r>
      <w:r>
        <w:rPr>
          <w:rFonts w:hint="eastAsia" w:ascii="宋体" w:hAnsi="宋体" w:eastAsia="宋体" w:cs="宋体"/>
          <w:color w:val="000000" w:themeColor="text1"/>
          <w:sz w:val="21"/>
          <w:szCs w:val="21"/>
          <w:highlight w:val="none"/>
          <w14:textFill>
            <w14:solidFill>
              <w14:schemeClr w14:val="tx1"/>
            </w14:solidFill>
          </w14:textFill>
        </w:rPr>
        <w:t>中标人确定后，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应将中标人名单在前附表规定的网站进行网上公示。</w:t>
      </w:r>
    </w:p>
    <w:p w14:paraId="16AA40FD">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 中标通知书</w:t>
      </w:r>
    </w:p>
    <w:p w14:paraId="4C7D994E">
      <w:pPr>
        <w:pStyle w:val="12"/>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highlight w:val="none"/>
          <w:lang w:eastAsia="zh-CN"/>
          <w14:textFill>
            <w14:solidFill>
              <w14:schemeClr w14:val="tx1"/>
            </w14:solidFill>
          </w14:textFill>
        </w:rPr>
        <w:t>招标人</w:t>
      </w:r>
      <w:r>
        <w:rPr>
          <w:rFonts w:hint="eastAsia" w:ascii="宋体" w:hAnsi="宋体" w:cs="宋体"/>
          <w:color w:val="000000" w:themeColor="text1"/>
          <w:highlight w:val="none"/>
          <w14:textFill>
            <w14:solidFill>
              <w14:schemeClr w14:val="tx1"/>
            </w14:solidFill>
          </w14:textFill>
        </w:rPr>
        <w:t>或采购代理机构应在中标人确定之日起2个工作日内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向中标人发出中标通知书。</w:t>
      </w:r>
    </w:p>
    <w:p w14:paraId="1BB80BC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.2.2中标通知书须加盖</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、采购代理机构公章后，方可发出。</w:t>
      </w:r>
    </w:p>
    <w:p w14:paraId="608C3E59">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 开评标异常情况处理</w:t>
      </w:r>
    </w:p>
    <w:p w14:paraId="3EC168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0</w:t>
      </w:r>
      <w:r>
        <w:rPr>
          <w:rFonts w:hint="eastAsia" w:ascii="宋体" w:hAnsi="宋体" w:cs="宋体"/>
          <w:color w:val="000000" w:themeColor="text1"/>
          <w:kern w:val="10"/>
          <w:szCs w:val="21"/>
          <w:highlight w:val="none"/>
          <w14:textFill>
            <w14:solidFill>
              <w14:schemeClr w14:val="tx1"/>
            </w14:solidFill>
          </w14:textFill>
        </w:rPr>
        <w:t>.1废标（重新招标）</w:t>
      </w:r>
    </w:p>
    <w:p w14:paraId="2967204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有下列情形之一的，</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将废标（重新招标）：</w:t>
      </w:r>
    </w:p>
    <w:p w14:paraId="7F4DF2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 xml:space="preserve">(1)投标截止时间止，投标人少于三个的； </w:t>
      </w:r>
    </w:p>
    <w:p w14:paraId="4DD60D9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(2)</w:t>
      </w:r>
      <w:r>
        <w:rPr>
          <w:rFonts w:hint="eastAsia" w:ascii="宋体" w:hAnsi="宋体" w:cs="宋体"/>
          <w:color w:val="000000" w:themeColor="text1"/>
          <w:szCs w:val="21"/>
          <w:highlight w:val="none"/>
          <w:shd w:val="clear" w:color="auto" w:fill="FFFFFF"/>
          <w14:textFill>
            <w14:solidFill>
              <w14:schemeClr w14:val="tx1"/>
            </w14:solidFill>
          </w14:textFill>
        </w:rPr>
        <w:t>符合专业条件的供应商或者对招标文件作实质响应的供应商不足三家的</w:t>
      </w:r>
      <w:r>
        <w:rPr>
          <w:rFonts w:hint="eastAsia" w:ascii="宋体" w:hAnsi="宋体" w:cs="宋体"/>
          <w:color w:val="000000" w:themeColor="text1"/>
          <w:kern w:val="10"/>
          <w:szCs w:val="21"/>
          <w:highlight w:val="none"/>
          <w14:textFill>
            <w14:solidFill>
              <w14:schemeClr w14:val="tx1"/>
            </w14:solidFill>
          </w14:textFill>
        </w:rPr>
        <w:t>；</w:t>
      </w:r>
    </w:p>
    <w:p w14:paraId="768CBC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(3)出现影响采购公正的违法、违规行为的；</w:t>
      </w:r>
    </w:p>
    <w:p w14:paraId="15638BE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themeColor="text1"/>
          <w:kern w:val="10"/>
          <w:szCs w:val="21"/>
          <w:highlight w:val="none"/>
          <w14:textFill>
            <w14:solidFill>
              <w14:schemeClr w14:val="tx1"/>
            </w14:solidFill>
          </w14:textFill>
        </w:rPr>
      </w:pPr>
      <w:r>
        <w:rPr>
          <w:rFonts w:hint="eastAsia" w:ascii="宋体" w:hAnsi="宋体" w:eastAsia="宋体" w:cs="宋体"/>
          <w:color w:val="000000" w:themeColor="text1"/>
          <w:kern w:val="10"/>
          <w:szCs w:val="21"/>
          <w:highlight w:val="none"/>
          <w14:textFill>
            <w14:solidFill>
              <w14:schemeClr w14:val="tx1"/>
            </w14:solidFill>
          </w14:textFill>
        </w:rPr>
        <w:t>(4)投标人的报价均脱离实际且无充分证据的；</w:t>
      </w:r>
    </w:p>
    <w:p w14:paraId="35136F5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w:t>
      </w:r>
      <w:r>
        <w:rPr>
          <w:rFonts w:hint="eastAsia" w:ascii="宋体" w:hAnsi="宋体" w:eastAsia="宋体" w:cs="宋体"/>
          <w:color w:val="auto"/>
          <w:kern w:val="10"/>
          <w:szCs w:val="21"/>
          <w:highlight w:val="none"/>
          <w:lang w:val="en-US" w:eastAsia="zh-CN"/>
        </w:rPr>
        <w:t>5</w:t>
      </w:r>
      <w:r>
        <w:rPr>
          <w:rFonts w:hint="eastAsia" w:ascii="宋体" w:hAnsi="宋体" w:eastAsia="宋体" w:cs="宋体"/>
          <w:color w:val="auto"/>
          <w:kern w:val="10"/>
          <w:szCs w:val="21"/>
          <w:highlight w:val="none"/>
        </w:rPr>
        <w:t>)因重大变故，采购任务取消的。</w:t>
      </w:r>
    </w:p>
    <w:p w14:paraId="1851004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w:t>
      </w:r>
      <w:r>
        <w:rPr>
          <w:rFonts w:hint="eastAsia" w:ascii="宋体" w:hAnsi="宋体" w:eastAsia="宋体" w:cs="宋体"/>
          <w:color w:val="auto"/>
          <w:kern w:val="10"/>
          <w:szCs w:val="21"/>
          <w:highlight w:val="none"/>
          <w:lang w:val="en-US" w:eastAsia="zh-CN"/>
        </w:rPr>
        <w:t>0</w:t>
      </w:r>
      <w:r>
        <w:rPr>
          <w:rFonts w:hint="eastAsia" w:ascii="宋体" w:hAnsi="宋体" w:eastAsia="宋体" w:cs="宋体"/>
          <w:color w:val="auto"/>
          <w:kern w:val="10"/>
          <w:szCs w:val="21"/>
          <w:highlight w:val="none"/>
        </w:rPr>
        <w:t>.2变更采购方式</w:t>
      </w:r>
    </w:p>
    <w:p w14:paraId="3DEA25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lang w:val="en-US" w:eastAsia="zh-CN"/>
        </w:rPr>
      </w:pPr>
      <w:bookmarkStart w:id="46" w:name="_Toc449028873"/>
      <w:r>
        <w:rPr>
          <w:rFonts w:hint="eastAsia" w:ascii="宋体" w:hAnsi="宋体" w:eastAsia="宋体" w:cs="宋体"/>
          <w:color w:val="auto"/>
          <w:kern w:val="10"/>
          <w:szCs w:val="21"/>
          <w:highlight w:val="none"/>
          <w:lang w:val="en-US" w:eastAsia="zh-CN"/>
        </w:rPr>
        <w:t>截止投标时间提交投标文件的投标人不足3家或经评审后有效投标人不足3家，根据项目具体情况，经招标人确认后可现场转为竞争性谈判。</w:t>
      </w:r>
    </w:p>
    <w:p w14:paraId="024D34C0">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（六）合同的授予</w:t>
      </w:r>
      <w:bookmarkEnd w:id="46"/>
    </w:p>
    <w:p w14:paraId="6503E8B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.合同授予标准</w:t>
      </w:r>
    </w:p>
    <w:p w14:paraId="37DE534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 本招标项目的合同将授予按本投标须知第</w:t>
      </w: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 xml:space="preserve">条规定所确定的中标人。 </w:t>
      </w:r>
    </w:p>
    <w:p w14:paraId="403032C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33</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.合同协议书的签订</w:t>
      </w:r>
    </w:p>
    <w:p w14:paraId="0B02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与中标人将于中标通知书发出之日起7个工作日内，按照招标文件和中标人的投标文件订立书面采购合同。</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和中标人不得再行订立背离合同实质性内容的其他协议。</w:t>
      </w:r>
    </w:p>
    <w:p w14:paraId="7CBFD5D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如不按本投标须知第</w:t>
      </w: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条的规定与中标人订立合同，或者</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、中标人订立背离合同实质性内容的协议，给他人造成损失的，依法承担民事责任，同时依法承担相应法律责任。</w:t>
      </w:r>
    </w:p>
    <w:p w14:paraId="6B58AC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中标人如不按本投标须知第31条的规定与招标人订立合同，依法承担民事责任，同时依法承担相应法律责任。</w:t>
      </w:r>
    </w:p>
    <w:p w14:paraId="513DED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.4中标人应当按照合同约定履行义务，完成中标项目，不得将中标项目转让（转包）给他人。</w:t>
      </w:r>
    </w:p>
    <w:p w14:paraId="6EAE48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bookmarkStart w:id="47" w:name="_Toc217446068"/>
      <w:r>
        <w:rPr>
          <w:rFonts w:hint="eastAsia" w:ascii="宋体" w:hAnsi="宋体" w:cs="宋体"/>
          <w:b/>
          <w:color w:val="000000" w:themeColor="text1"/>
          <w:szCs w:val="21"/>
          <w:highlight w:val="none"/>
          <w14:textFill>
            <w14:solidFill>
              <w14:schemeClr w14:val="tx1"/>
            </w14:solidFill>
          </w14:textFill>
        </w:rPr>
        <w:t>履约保证金</w:t>
      </w:r>
      <w:bookmarkEnd w:id="47"/>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本项目不采用）</w:t>
      </w:r>
    </w:p>
    <w:p w14:paraId="1A6302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.1在签订合同前，中标人应按投标人须知前附表规定的担保形式、金额和招标文件第五章“合同条款及格式”规定的或者事先经过</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书面认可的履约担保格式向</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提交履约担保。</w:t>
      </w:r>
    </w:p>
    <w:p w14:paraId="50FDC3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 中标人不能按本章第3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.1款要求提交履约担保的，视为放弃中标，</w:t>
      </w:r>
      <w:r>
        <w:rPr>
          <w:rFonts w:hint="eastAsia" w:ascii="宋体" w:hAnsi="宋体" w:cs="宋体"/>
          <w:color w:val="000000" w:themeColor="text1"/>
          <w:szCs w:val="21"/>
          <w:highlight w:val="none"/>
          <w:shd w:val="clear" w:color="auto" w:fill="FFFFFF"/>
          <w14:textFill>
            <w14:solidFill>
              <w14:schemeClr w14:val="tx1"/>
            </w14:solidFill>
          </w14:textFill>
        </w:rPr>
        <w:t>给</w:t>
      </w:r>
      <w:r>
        <w:rPr>
          <w:rFonts w:hint="eastAsia" w:ascii="宋体" w:hAnsi="宋体" w:cs="宋体"/>
          <w:color w:val="000000" w:themeColor="text1"/>
          <w:szCs w:val="21"/>
          <w:highlight w:val="none"/>
          <w:shd w:val="clear" w:color="auto" w:fill="FFFFFF"/>
          <w:lang w:eastAsia="zh-CN"/>
          <w14:textFill>
            <w14:solidFill>
              <w14:schemeClr w14:val="tx1"/>
            </w14:solidFill>
          </w14:textFill>
        </w:rPr>
        <w:t>招标人</w:t>
      </w:r>
      <w:r>
        <w:rPr>
          <w:rFonts w:hint="eastAsia" w:ascii="宋体" w:hAnsi="宋体" w:cs="宋体"/>
          <w:color w:val="000000" w:themeColor="text1"/>
          <w:szCs w:val="21"/>
          <w:highlight w:val="none"/>
          <w:shd w:val="clear" w:color="auto" w:fill="FFFFFF"/>
          <w14:textFill>
            <w14:solidFill>
              <w14:schemeClr w14:val="tx1"/>
            </w14:solidFill>
          </w14:textFill>
        </w:rPr>
        <w:t>造成损失的，依法承担民事责任</w:t>
      </w:r>
      <w:r>
        <w:rPr>
          <w:rFonts w:hint="eastAsia" w:ascii="宋体" w:hAnsi="宋体" w:cs="宋体"/>
          <w:color w:val="000000" w:themeColor="text1"/>
          <w:szCs w:val="21"/>
          <w:highlight w:val="none"/>
          <w14:textFill>
            <w14:solidFill>
              <w14:schemeClr w14:val="tx1"/>
            </w14:solidFill>
          </w14:textFill>
        </w:rPr>
        <w:t>。</w:t>
      </w:r>
    </w:p>
    <w:p w14:paraId="2DDCF8D5">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48" w:name="_Toc449028874"/>
      <w:r>
        <w:rPr>
          <w:rFonts w:hint="eastAsia" w:ascii="宋体" w:hAnsi="宋体" w:eastAsia="宋体" w:cs="宋体"/>
          <w:b/>
          <w:color w:val="000000" w:themeColor="text1"/>
          <w:sz w:val="28"/>
          <w:szCs w:val="28"/>
          <w:highlight w:val="none"/>
          <w14:textFill>
            <w14:solidFill>
              <w14:schemeClr w14:val="tx1"/>
            </w14:solidFill>
          </w14:textFill>
        </w:rPr>
        <w:t>（七）纪律和监督</w:t>
      </w:r>
      <w:bookmarkEnd w:id="48"/>
    </w:p>
    <w:p w14:paraId="1BF8F3EB">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 对</w:t>
      </w:r>
      <w:r>
        <w:rPr>
          <w:rFonts w:hint="eastAsia" w:ascii="宋体" w:hAnsi="宋体" w:cs="宋体"/>
          <w:b/>
          <w:color w:val="000000" w:themeColor="text1"/>
          <w:szCs w:val="21"/>
          <w:highlight w:val="none"/>
          <w:lang w:eastAsia="zh-CN"/>
          <w14:textFill>
            <w14:solidFill>
              <w14:schemeClr w14:val="tx1"/>
            </w14:solidFill>
          </w14:textFill>
        </w:rPr>
        <w:t>招标人</w:t>
      </w:r>
      <w:r>
        <w:rPr>
          <w:rFonts w:hint="eastAsia" w:ascii="宋体" w:hAnsi="宋体" w:cs="宋体"/>
          <w:b/>
          <w:color w:val="000000" w:themeColor="text1"/>
          <w:szCs w:val="21"/>
          <w:highlight w:val="none"/>
          <w14:textFill>
            <w14:solidFill>
              <w14:schemeClr w14:val="tx1"/>
            </w14:solidFill>
          </w14:textFill>
        </w:rPr>
        <w:t xml:space="preserve">的纪律要求 </w:t>
      </w:r>
    </w:p>
    <w:p w14:paraId="5E211F0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4</w:t>
      </w:r>
      <w:r>
        <w:rPr>
          <w:rFonts w:hint="eastAsia" w:ascii="宋体" w:hAnsi="宋体" w:cs="宋体"/>
          <w:color w:val="000000" w:themeColor="text1"/>
          <w:kern w:val="10"/>
          <w:szCs w:val="21"/>
          <w:highlight w:val="none"/>
          <w14:textFill>
            <w14:solidFill>
              <w14:schemeClr w14:val="tx1"/>
            </w14:solidFill>
          </w14:textFill>
        </w:rPr>
        <w:t>.1</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 xml:space="preserve">不得泄漏招标投标活动中应当保密的情况和资料，不得与投标人串通损害国家利益，社会公共利益或者他人合法权益。 </w:t>
      </w:r>
    </w:p>
    <w:p w14:paraId="2FAFAD3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 xml:space="preserve"> 对投标人的纪律要求 </w:t>
      </w:r>
    </w:p>
    <w:p w14:paraId="360CF9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5</w:t>
      </w:r>
      <w:r>
        <w:rPr>
          <w:rFonts w:hint="eastAsia" w:ascii="宋体" w:hAnsi="宋体" w:cs="宋体"/>
          <w:color w:val="000000" w:themeColor="text1"/>
          <w:kern w:val="10"/>
          <w:szCs w:val="21"/>
          <w:highlight w:val="none"/>
          <w14:textFill>
            <w14:solidFill>
              <w14:schemeClr w14:val="tx1"/>
            </w14:solidFill>
          </w14:textFill>
        </w:rPr>
        <w:t>.1投标人不得相互串通投标或者与</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串通投标，不得向</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或者评标委员会成员行贿谋取中标，不得以他人名义投标或者以其他方式弄虚作假骗取中标；投标人不得以任何方式干扰、影响评标工作。</w:t>
      </w:r>
    </w:p>
    <w:p w14:paraId="55B8F791">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 xml:space="preserve">. 对评标委员会成员的纪律要求 </w:t>
      </w:r>
    </w:p>
    <w:p w14:paraId="4AE1A07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6</w:t>
      </w:r>
      <w:r>
        <w:rPr>
          <w:rFonts w:hint="eastAsia" w:ascii="宋体" w:hAnsi="宋体" w:cs="宋体"/>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14:paraId="4278D7D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6</w:t>
      </w:r>
      <w:r>
        <w:rPr>
          <w:rFonts w:hint="eastAsia" w:ascii="宋体" w:hAnsi="宋体" w:cs="宋体"/>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14:paraId="24FE0A04">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 xml:space="preserve">. 对与评标活动有关的工作人员的纪律要求 </w:t>
      </w:r>
    </w:p>
    <w:p w14:paraId="2A21000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7</w:t>
      </w:r>
      <w:r>
        <w:rPr>
          <w:rFonts w:hint="eastAsia" w:ascii="宋体" w:hAnsi="宋体" w:cs="宋体"/>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0D21476">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49" w:name="_Toc449028875"/>
      <w:r>
        <w:rPr>
          <w:rFonts w:hint="eastAsia" w:ascii="宋体" w:hAnsi="宋体" w:eastAsia="宋体" w:cs="宋体"/>
          <w:b/>
          <w:color w:val="000000" w:themeColor="text1"/>
          <w:sz w:val="28"/>
          <w:szCs w:val="28"/>
          <w:highlight w:val="none"/>
          <w14:textFill>
            <w14:solidFill>
              <w14:schemeClr w14:val="tx1"/>
            </w14:solidFill>
          </w14:textFill>
        </w:rPr>
        <w:t>（八）质疑与投诉</w:t>
      </w:r>
      <w:bookmarkEnd w:id="49"/>
    </w:p>
    <w:p w14:paraId="7BD937C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 询问、质疑</w:t>
      </w:r>
    </w:p>
    <w:p w14:paraId="1B216D1F">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若投标人或者其他利害关系人对</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结果有异议，可在公示期内以书面形式，并在工作时间内（上午8:00-12:00,下午2:30-5:30）向招标人或招标代理机构提出异议。</w:t>
      </w:r>
    </w:p>
    <w:p w14:paraId="0A2AC6D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异议应以书面形式实名提出，书面异议材料应当包括以下内容： </w:t>
      </w:r>
    </w:p>
    <w:p w14:paraId="039C0B3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（1）异议人的名称、地址、有效联系方式； </w:t>
      </w:r>
    </w:p>
    <w:p w14:paraId="257C3E87">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（2）项目名称、项目编号、标段号（如有）； </w:t>
      </w:r>
    </w:p>
    <w:p w14:paraId="7965E18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（3）被异议人名称； </w:t>
      </w:r>
    </w:p>
    <w:p w14:paraId="76B96196">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（4）具体的异议事项、基本事实及必要的证明材料； </w:t>
      </w:r>
    </w:p>
    <w:p w14:paraId="11ED671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（5）明确的请求及主张； </w:t>
      </w:r>
    </w:p>
    <w:p w14:paraId="3652963E">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（6）提起异议的日期。 </w:t>
      </w:r>
    </w:p>
    <w:p w14:paraId="1DC7774A">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（7）异议人为法人的，应当由法定代表人或授权代表签字并加盖公章；为其他组织或个人的，异议材料须由其主要负责人或者异议人本人签字，并附有效身份证明复印件。 </w:t>
      </w:r>
    </w:p>
    <w:p w14:paraId="6CD082B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（8）异议人需要修改、补充异议材料的，应当在招标人或招标代理机构规定的期限内提交修改或补充材料。 </w:t>
      </w:r>
    </w:p>
    <w:p w14:paraId="7276EE1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有下列情形之一的，不予受理： </w:t>
      </w:r>
    </w:p>
    <w:p w14:paraId="077771CD">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（1）提出异议的主体不是所异议项目投标人或者其他利害关系人的；</w:t>
      </w:r>
    </w:p>
    <w:p w14:paraId="3BB44CE2">
      <w:pPr>
        <w:keepNext w:val="0"/>
        <w:keepLines w:val="0"/>
        <w:pageBreakBefore w:val="0"/>
        <w:widowControl w:val="0"/>
        <w:kinsoku/>
        <w:wordWrap/>
        <w:overflowPunct/>
        <w:topLinePunct w:val="0"/>
        <w:autoSpaceDE/>
        <w:autoSpaceDN/>
        <w:bidi w:val="0"/>
        <w:adjustRightInd/>
        <w:snapToGrid/>
        <w:spacing w:line="440" w:lineRule="exact"/>
        <w:ind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）对于依法必须招标的项目，未在公示期间提出异议的；</w:t>
      </w:r>
    </w:p>
    <w:p w14:paraId="7355F1D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（3）异议材料不完整的； </w:t>
      </w:r>
    </w:p>
    <w:p w14:paraId="6CABAF6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（4）异议事项含有主观猜测等内容且未提供有效线索、难以查证的； </w:t>
      </w:r>
    </w:p>
    <w:p w14:paraId="17E89A3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  （5）对其他投标人的投标文件详细内容异议，无法提供合法来源渠道的； </w:t>
      </w:r>
    </w:p>
    <w:p w14:paraId="2410981B">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  （6）异议事项已进入投诉处理、行政复议或行政诉讼程序的。</w:t>
      </w:r>
    </w:p>
    <w:p w14:paraId="1E23D7C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2"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color w:val="000000" w:themeColor="text1"/>
          <w:sz w:val="21"/>
          <w:szCs w:val="21"/>
          <w:highlight w:val="none"/>
          <w14:textFill>
            <w14:solidFill>
              <w14:schemeClr w14:val="tx1"/>
            </w14:solidFill>
          </w14:textFill>
        </w:rPr>
        <w:t>. 投诉</w:t>
      </w:r>
    </w:p>
    <w:p w14:paraId="0840BB8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3</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.1投标人和其他利害关系人认为本次招标活动违反法律、法规和规章规定的，有权向有关行政监督部门投诉。投诉应当有明确的请求和必要的证明材料。</w:t>
      </w:r>
    </w:p>
    <w:p w14:paraId="2C0D2E9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39.2</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投标人和其他利害关系人对评标结果等事项投诉的，应当在开标期间或中标</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结果</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公示期间，先向招标人提出异议。</w:t>
      </w:r>
    </w:p>
    <w:p w14:paraId="5E6C7738">
      <w:pPr>
        <w:spacing w:line="440" w:lineRule="exact"/>
        <w:ind w:firstLine="450" w:firstLineChars="150"/>
        <w:jc w:val="left"/>
        <w:rPr>
          <w:rFonts w:hint="eastAsia" w:ascii="宋体" w:hAnsi="宋体" w:cs="宋体"/>
          <w:color w:val="000000" w:themeColor="text1"/>
          <w:sz w:val="30"/>
          <w:szCs w:val="30"/>
          <w:highlight w:val="none"/>
          <w14:textFill>
            <w14:solidFill>
              <w14:schemeClr w14:val="tx1"/>
            </w14:solidFill>
          </w14:textFill>
        </w:rPr>
      </w:pPr>
    </w:p>
    <w:p w14:paraId="055E078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50" w:name="_Toc58430316"/>
      <w:r>
        <w:rPr>
          <w:rFonts w:hint="eastAsia" w:ascii="宋体"/>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第三章 评标办法（综合评分法）</w:t>
      </w:r>
      <w:bookmarkEnd w:id="50"/>
    </w:p>
    <w:p w14:paraId="2A28B3A9">
      <w:pPr>
        <w:spacing w:before="156" w:beforeLines="50" w:after="156" w:afterLines="50" w:line="440" w:lineRule="exact"/>
        <w:jc w:val="center"/>
        <w:outlineLvl w:val="1"/>
        <w:rPr>
          <w:rFonts w:hint="eastAsia" w:ascii="宋体"/>
          <w:b/>
          <w:color w:val="000000" w:themeColor="text1"/>
          <w:sz w:val="28"/>
          <w:szCs w:val="28"/>
          <w:highlight w:val="none"/>
          <w14:textFill>
            <w14:solidFill>
              <w14:schemeClr w14:val="tx1"/>
            </w14:solidFill>
          </w14:textFill>
        </w:rPr>
      </w:pPr>
      <w:bookmarkStart w:id="51" w:name="_Toc362983801"/>
      <w:bookmarkStart w:id="52" w:name="_Toc58430317"/>
      <w:bookmarkStart w:id="53" w:name="_Toc449028877"/>
      <w:bookmarkStart w:id="54" w:name="_Toc267320058"/>
      <w:bookmarkStart w:id="55" w:name="_Toc363135205"/>
      <w:r>
        <w:rPr>
          <w:rFonts w:hint="eastAsia" w:ascii="宋体"/>
          <w:b/>
          <w:color w:val="000000" w:themeColor="text1"/>
          <w:sz w:val="28"/>
          <w:szCs w:val="28"/>
          <w:highlight w:val="none"/>
          <w14:textFill>
            <w14:solidFill>
              <w14:schemeClr w14:val="tx1"/>
            </w14:solidFill>
          </w14:textFill>
        </w:rPr>
        <w:t>一、总则</w:t>
      </w:r>
      <w:bookmarkEnd w:id="51"/>
      <w:bookmarkEnd w:id="52"/>
      <w:bookmarkEnd w:id="53"/>
    </w:p>
    <w:p w14:paraId="0E997BD9">
      <w:pPr>
        <w:spacing w:line="440" w:lineRule="exact"/>
        <w:ind w:firstLine="316" w:firstLineChars="15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1. 本次评标采用综合评分法</w:t>
      </w:r>
    </w:p>
    <w:p w14:paraId="481A9577">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1.1综合评分法是指投标文件满足招标文件全部实质性要求且按照评审因素的量化指标评审总得分从高到低的供应商为中标候选人的评标方法。</w:t>
      </w:r>
    </w:p>
    <w:p w14:paraId="3AF41CF3">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1.2综合评分法一般适用于较为复杂、评价指标难以量化且价格为非主要因素的非标准定制商品和非通用服务项目的项目评审。</w:t>
      </w:r>
    </w:p>
    <w:p w14:paraId="09D50F5A">
      <w:pPr>
        <w:spacing w:line="44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2．评标程序</w:t>
      </w:r>
    </w:p>
    <w:p w14:paraId="6B790AC8">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2.1投标文件的初审</w:t>
      </w:r>
    </w:p>
    <w:p w14:paraId="5A7B58CD">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2.1.1资格性检查。依据法律法规和招标文件的规定，对投标文件中的资格证明等进行审查，以确定投标人是否具备投标资格。 </w:t>
      </w:r>
    </w:p>
    <w:p w14:paraId="67811858">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2.1.2符合性检查。依据招标文件的规定，从投标文件的有效性、完整性和对招标文件的响应程度进行审查，以确定投标人是否对招标文件的实质性要求作出响应。</w:t>
      </w:r>
    </w:p>
    <w:p w14:paraId="7EE01CFA">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比较与评价</w:t>
      </w:r>
    </w:p>
    <w:p w14:paraId="0EF130BA">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.1按招标文件中规定的评标方法和标准，对资格性检查和符合性检查合格的投标文件进行资信、商务和技术评估，综合比较与评价。</w:t>
      </w:r>
    </w:p>
    <w:p w14:paraId="0C6A5836">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推荐中标候选人名单</w:t>
      </w:r>
    </w:p>
    <w:p w14:paraId="3669D7D1">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.1中标候选人数量应当根据采购需要确定，但必须按顺序排列中标候选人。</w:t>
      </w:r>
    </w:p>
    <w:p w14:paraId="05973913">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在投标文件的审查、澄清、评价和比较以及授予合同过程中，投标人对</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和评标委员会成员施加影响的任何行为，都将导致取消其中标资格。</w:t>
      </w:r>
    </w:p>
    <w:p w14:paraId="6BD34754">
      <w:pPr>
        <w:spacing w:before="156" w:beforeLines="50" w:after="156" w:afterLines="50" w:line="360" w:lineRule="auto"/>
        <w:outlineLvl w:val="1"/>
        <w:rPr>
          <w:rFonts w:ascii="宋体"/>
          <w:b/>
          <w:color w:val="000000" w:themeColor="text1"/>
          <w:sz w:val="28"/>
          <w:szCs w:val="28"/>
          <w:highlight w:val="none"/>
          <w14:textFill>
            <w14:solidFill>
              <w14:schemeClr w14:val="tx1"/>
            </w14:solidFill>
          </w14:textFill>
        </w:rPr>
        <w:sectPr>
          <w:footerReference r:id="rId8" w:type="default"/>
          <w:pgSz w:w="11906" w:h="16838"/>
          <w:pgMar w:top="1440" w:right="1800" w:bottom="1440" w:left="1800" w:header="851" w:footer="992" w:gutter="0"/>
          <w:pgNumType w:fmt="numberInDash" w:start="1"/>
          <w:cols w:space="720" w:num="1"/>
          <w:docGrid w:type="lines" w:linePitch="312" w:charSpace="0"/>
        </w:sectPr>
      </w:pPr>
      <w:bookmarkStart w:id="56" w:name="_Toc362983802"/>
    </w:p>
    <w:p w14:paraId="3B1B8784">
      <w:pPr>
        <w:jc w:val="center"/>
        <w:outlineLvl w:val="1"/>
        <w:rPr>
          <w:rFonts w:hint="eastAsia" w:ascii="宋体"/>
          <w:b/>
          <w:color w:val="000000" w:themeColor="text1"/>
          <w:sz w:val="28"/>
          <w:szCs w:val="28"/>
          <w:highlight w:val="none"/>
          <w14:textFill>
            <w14:solidFill>
              <w14:schemeClr w14:val="tx1"/>
            </w14:solidFill>
          </w14:textFill>
        </w:rPr>
      </w:pPr>
      <w:bookmarkStart w:id="57" w:name="_Toc58430318"/>
      <w:bookmarkStart w:id="58" w:name="_Toc449028878"/>
      <w:r>
        <w:rPr>
          <w:rFonts w:hint="eastAsia" w:ascii="宋体"/>
          <w:b/>
          <w:color w:val="000000" w:themeColor="text1"/>
          <w:sz w:val="28"/>
          <w:szCs w:val="28"/>
          <w:highlight w:val="none"/>
          <w14:textFill>
            <w14:solidFill>
              <w14:schemeClr w14:val="tx1"/>
            </w14:solidFill>
          </w14:textFill>
        </w:rPr>
        <w:t>二、投标文件初审</w:t>
      </w:r>
      <w:bookmarkEnd w:id="56"/>
      <w:bookmarkEnd w:id="57"/>
      <w:bookmarkEnd w:id="58"/>
    </w:p>
    <w:p w14:paraId="754427F2">
      <w:pPr>
        <w:spacing w:line="440" w:lineRule="exact"/>
        <w:ind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3.资格性审查:</w:t>
      </w:r>
    </w:p>
    <w:p w14:paraId="2866E872">
      <w:pPr>
        <w:spacing w:line="440" w:lineRule="exact"/>
        <w:ind w:firstLine="308"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3.1评审细则</w:t>
      </w:r>
    </w:p>
    <w:tbl>
      <w:tblPr>
        <w:tblStyle w:val="37"/>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6CE0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324FEA13">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643" w:type="dxa"/>
            <w:gridSpan w:val="2"/>
            <w:noWrap w:val="0"/>
            <w:vAlign w:val="center"/>
          </w:tcPr>
          <w:p w14:paraId="102A5DDD">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4492" w:type="dxa"/>
            <w:noWrap w:val="0"/>
            <w:vAlign w:val="center"/>
          </w:tcPr>
          <w:p w14:paraId="4E4C40E7">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评审标准</w:t>
            </w:r>
          </w:p>
        </w:tc>
      </w:tr>
      <w:tr w14:paraId="4B0E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7666E34A">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75" w:type="dxa"/>
            <w:noWrap w:val="0"/>
            <w:vAlign w:val="center"/>
          </w:tcPr>
          <w:p w14:paraId="0543A6E5">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重要要求</w:t>
            </w:r>
          </w:p>
        </w:tc>
        <w:tc>
          <w:tcPr>
            <w:tcW w:w="3368" w:type="dxa"/>
            <w:noWrap w:val="0"/>
            <w:vAlign w:val="center"/>
          </w:tcPr>
          <w:p w14:paraId="1E0B1EE6">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（1）法定代表人身份证明和本人有效身份证(或法定代表人授权委托书和委托代理人有效身份证)</w:t>
            </w:r>
          </w:p>
        </w:tc>
        <w:tc>
          <w:tcPr>
            <w:tcW w:w="4492" w:type="dxa"/>
            <w:noWrap w:val="0"/>
            <w:vAlign w:val="center"/>
          </w:tcPr>
          <w:p w14:paraId="0D05CB9A">
            <w:pPr>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检验</w:t>
            </w:r>
            <w:r>
              <w:rPr>
                <w:rFonts w:hint="eastAsia" w:ascii="宋体" w:hAnsi="宋体" w:cs="宋体"/>
                <w:color w:val="000000" w:themeColor="text1"/>
                <w:szCs w:val="21"/>
                <w:highlight w:val="none"/>
                <w:lang w:val="en-US"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w:t>
            </w:r>
          </w:p>
        </w:tc>
      </w:tr>
      <w:tr w14:paraId="0795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0F361FFF">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75" w:type="dxa"/>
            <w:vMerge w:val="restart"/>
            <w:noWrap w:val="0"/>
            <w:vAlign w:val="center"/>
          </w:tcPr>
          <w:p w14:paraId="23EC5895">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投标人应符合的基本资格条件</w:t>
            </w:r>
          </w:p>
        </w:tc>
        <w:tc>
          <w:tcPr>
            <w:tcW w:w="3368" w:type="dxa"/>
            <w:noWrap w:val="0"/>
            <w:vAlign w:val="center"/>
          </w:tcPr>
          <w:p w14:paraId="0FF42426">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（2）投标人须为经中国保险监督管理委员会批准具备经营本项目保险资格的保险公司市级分公司或中心支公司</w:t>
            </w:r>
          </w:p>
        </w:tc>
        <w:tc>
          <w:tcPr>
            <w:tcW w:w="4492" w:type="dxa"/>
            <w:noWrap w:val="0"/>
            <w:vAlign w:val="center"/>
          </w:tcPr>
          <w:p w14:paraId="33642361">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评审核验</w:t>
            </w:r>
            <w:r>
              <w:rPr>
                <w:rFonts w:hint="eastAsia" w:ascii="宋体" w:hAnsi="宋体" w:cs="宋体"/>
                <w:b/>
                <w:color w:val="000000" w:themeColor="text1"/>
                <w:szCs w:val="21"/>
                <w:highlight w:val="none"/>
                <w:lang w:val="en-US" w:eastAsia="zh-CN"/>
                <w14:textFill>
                  <w14:solidFill>
                    <w14:schemeClr w14:val="tx1"/>
                  </w14:solidFill>
                </w14:textFill>
              </w:rPr>
              <w:t>投标文件</w:t>
            </w:r>
            <w:r>
              <w:rPr>
                <w:rFonts w:hint="eastAsia" w:ascii="宋体" w:hAnsi="宋体" w:cs="宋体"/>
                <w:b/>
                <w:color w:val="000000" w:themeColor="text1"/>
                <w:szCs w:val="21"/>
                <w:highlight w:val="none"/>
                <w14:textFill>
                  <w14:solidFill>
                    <w14:schemeClr w14:val="tx1"/>
                  </w14:solidFill>
                </w14:textFill>
              </w:rPr>
              <w:t>中的下列证书、证明材料：</w:t>
            </w:r>
          </w:p>
          <w:p w14:paraId="6CA90D47">
            <w:pPr>
              <w:spacing w:line="44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有效的营业执照</w:t>
            </w:r>
          </w:p>
        </w:tc>
      </w:tr>
      <w:tr w14:paraId="3441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28DF744C">
            <w:pPr>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275" w:type="dxa"/>
            <w:vMerge w:val="continue"/>
            <w:noWrap w:val="0"/>
            <w:vAlign w:val="center"/>
          </w:tcPr>
          <w:p w14:paraId="66924491">
            <w:pPr>
              <w:spacing w:line="440" w:lineRule="exact"/>
              <w:rPr>
                <w:rFonts w:hint="eastAsia" w:ascii="宋体" w:hAnsi="宋体" w:cs="宋体"/>
                <w:color w:val="000000" w:themeColor="text1"/>
                <w:szCs w:val="21"/>
                <w:highlight w:val="none"/>
                <w14:textFill>
                  <w14:solidFill>
                    <w14:schemeClr w14:val="tx1"/>
                  </w14:solidFill>
                </w14:textFill>
              </w:rPr>
            </w:pPr>
          </w:p>
        </w:tc>
        <w:tc>
          <w:tcPr>
            <w:tcW w:w="3368" w:type="dxa"/>
            <w:noWrap w:val="0"/>
            <w:vAlign w:val="center"/>
          </w:tcPr>
          <w:p w14:paraId="0B800E3E">
            <w:pPr>
              <w:spacing w:line="44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3）具有市级分公司或中心支公司经营保险业务许可证</w:t>
            </w:r>
          </w:p>
        </w:tc>
        <w:tc>
          <w:tcPr>
            <w:tcW w:w="4492" w:type="dxa"/>
            <w:noWrap w:val="0"/>
            <w:vAlign w:val="center"/>
          </w:tcPr>
          <w:p w14:paraId="348AF15F">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评审核验</w:t>
            </w:r>
            <w:r>
              <w:rPr>
                <w:rFonts w:hint="eastAsia" w:ascii="宋体" w:hAnsi="宋体" w:cs="宋体"/>
                <w:b/>
                <w:color w:val="000000" w:themeColor="text1"/>
                <w:szCs w:val="21"/>
                <w:highlight w:val="none"/>
                <w:lang w:val="en-US" w:eastAsia="zh-CN"/>
                <w14:textFill>
                  <w14:solidFill>
                    <w14:schemeClr w14:val="tx1"/>
                  </w14:solidFill>
                </w14:textFill>
              </w:rPr>
              <w:t>投标文件</w:t>
            </w:r>
            <w:r>
              <w:rPr>
                <w:rFonts w:hint="eastAsia" w:ascii="宋体" w:hAnsi="宋体" w:cs="宋体"/>
                <w:b/>
                <w:color w:val="000000" w:themeColor="text1"/>
                <w:szCs w:val="21"/>
                <w:highlight w:val="none"/>
                <w14:textFill>
                  <w14:solidFill>
                    <w14:schemeClr w14:val="tx1"/>
                  </w14:solidFill>
                </w14:textFill>
              </w:rPr>
              <w:t>中的下列证书、证明材料：</w:t>
            </w:r>
          </w:p>
          <w:p w14:paraId="35F1EE98">
            <w:pPr>
              <w:spacing w:line="440" w:lineRule="exact"/>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有效的经营保险业务许可证</w:t>
            </w:r>
          </w:p>
        </w:tc>
      </w:tr>
      <w:tr w14:paraId="79E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63F8F4B9">
            <w:pPr>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275" w:type="dxa"/>
            <w:vMerge w:val="continue"/>
            <w:noWrap w:val="0"/>
            <w:vAlign w:val="center"/>
          </w:tcPr>
          <w:p w14:paraId="34C0231A">
            <w:pPr>
              <w:spacing w:line="440" w:lineRule="exact"/>
              <w:rPr>
                <w:rFonts w:hint="eastAsia" w:ascii="宋体" w:hAnsi="宋体" w:cs="宋体"/>
                <w:color w:val="000000" w:themeColor="text1"/>
                <w:szCs w:val="21"/>
                <w:highlight w:val="none"/>
                <w14:textFill>
                  <w14:solidFill>
                    <w14:schemeClr w14:val="tx1"/>
                  </w14:solidFill>
                </w14:textFill>
              </w:rPr>
            </w:pPr>
          </w:p>
        </w:tc>
        <w:tc>
          <w:tcPr>
            <w:tcW w:w="3368" w:type="dxa"/>
            <w:noWrap w:val="0"/>
            <w:vAlign w:val="top"/>
          </w:tcPr>
          <w:p w14:paraId="05B0742A">
            <w:pPr>
              <w:spacing w:line="4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）诚信投标承诺书</w:t>
            </w:r>
          </w:p>
        </w:tc>
        <w:tc>
          <w:tcPr>
            <w:tcW w:w="4492" w:type="dxa"/>
            <w:noWrap w:val="0"/>
            <w:vAlign w:val="top"/>
          </w:tcPr>
          <w:p w14:paraId="60C07E90">
            <w:pPr>
              <w:spacing w:line="44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格式见附件，检验</w:t>
            </w:r>
            <w:r>
              <w:rPr>
                <w:rFonts w:hint="eastAsia" w:ascii="宋体" w:hAnsi="宋体" w:cs="宋体"/>
                <w:color w:val="000000" w:themeColor="text1"/>
                <w:szCs w:val="21"/>
                <w:highlight w:val="none"/>
                <w:lang w:val="en-US" w:eastAsia="zh-CN"/>
                <w14:textFill>
                  <w14:solidFill>
                    <w14:schemeClr w14:val="tx1"/>
                  </w14:solidFill>
                </w14:textFill>
              </w:rPr>
              <w:t>投标文件</w:t>
            </w:r>
          </w:p>
        </w:tc>
      </w:tr>
    </w:tbl>
    <w:p w14:paraId="7E70634A">
      <w:pPr>
        <w:spacing w:line="440" w:lineRule="exact"/>
        <w:ind w:firstLine="508" w:firstLineChars="24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如评标专家在</w:t>
      </w:r>
      <w:r>
        <w:rPr>
          <w:rFonts w:hint="eastAsia" w:ascii="宋体" w:hAnsi="宋体" w:cs="宋体"/>
          <w:b/>
          <w:color w:val="000000" w:themeColor="text1"/>
          <w:szCs w:val="21"/>
          <w:highlight w:val="none"/>
          <w:lang w:val="en-US" w:eastAsia="zh-CN"/>
          <w14:textFill>
            <w14:solidFill>
              <w14:schemeClr w14:val="tx1"/>
            </w14:solidFill>
          </w14:textFill>
        </w:rPr>
        <w:t>检验</w:t>
      </w:r>
      <w:r>
        <w:rPr>
          <w:rFonts w:hint="eastAsia" w:ascii="宋体" w:hAnsi="宋体" w:cs="宋体"/>
          <w:b/>
          <w:color w:val="000000" w:themeColor="text1"/>
          <w:szCs w:val="21"/>
          <w:highlight w:val="none"/>
          <w14:textFill>
            <w14:solidFill>
              <w14:schemeClr w14:val="tx1"/>
            </w14:solidFill>
          </w14:textFill>
        </w:rPr>
        <w:t>投标文件过程中，如果由于投标人自身原因导致评标专家无法查看并检验投标文件中相关资料的，否决其投标。即使投标人将原件携带至现场的，同样按否决投标处理。</w:t>
      </w:r>
    </w:p>
    <w:p w14:paraId="7CB1FD14">
      <w:pPr>
        <w:spacing w:line="440" w:lineRule="exact"/>
        <w:ind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4.符合性审查</w:t>
      </w:r>
    </w:p>
    <w:p w14:paraId="0DBB4B95">
      <w:pPr>
        <w:spacing w:line="440" w:lineRule="exac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A7C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4770DD">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135" w:type="dxa"/>
            <w:gridSpan w:val="2"/>
            <w:noWrap w:val="0"/>
            <w:vAlign w:val="center"/>
          </w:tcPr>
          <w:p w14:paraId="1B6A8335">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审查因素</w:t>
            </w:r>
          </w:p>
        </w:tc>
        <w:tc>
          <w:tcPr>
            <w:tcW w:w="4173" w:type="dxa"/>
            <w:noWrap w:val="0"/>
            <w:vAlign w:val="center"/>
          </w:tcPr>
          <w:p w14:paraId="4CE95F3C">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审查内容</w:t>
            </w:r>
          </w:p>
        </w:tc>
      </w:tr>
      <w:tr w14:paraId="4C0A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2DE9D4E6">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04" w:type="dxa"/>
            <w:vMerge w:val="restart"/>
            <w:noWrap w:val="0"/>
            <w:vAlign w:val="center"/>
          </w:tcPr>
          <w:p w14:paraId="18AEC39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投标文件的有效性</w:t>
            </w:r>
          </w:p>
        </w:tc>
        <w:tc>
          <w:tcPr>
            <w:tcW w:w="2931" w:type="dxa"/>
            <w:noWrap w:val="0"/>
            <w:vAlign w:val="center"/>
          </w:tcPr>
          <w:p w14:paraId="1CC3A3A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（1）投标文件签署</w:t>
            </w:r>
          </w:p>
        </w:tc>
        <w:tc>
          <w:tcPr>
            <w:tcW w:w="4173" w:type="dxa"/>
            <w:noWrap w:val="0"/>
            <w:vAlign w:val="center"/>
          </w:tcPr>
          <w:p w14:paraId="657CC3F4">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签字、盖章符合要求。</w:t>
            </w:r>
          </w:p>
        </w:tc>
      </w:tr>
      <w:tr w14:paraId="259F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2DA2468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1C5DD657">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26A6A2CD">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（2）投标方案</w:t>
            </w:r>
          </w:p>
        </w:tc>
        <w:tc>
          <w:tcPr>
            <w:tcW w:w="4173" w:type="dxa"/>
            <w:noWrap w:val="0"/>
            <w:vAlign w:val="center"/>
          </w:tcPr>
          <w:p w14:paraId="793DA8CA">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每个分包只能有一个方案投标。</w:t>
            </w:r>
          </w:p>
        </w:tc>
      </w:tr>
      <w:tr w14:paraId="1B2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221B4E1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1CC3A901">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52E88D6B">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（3）报价唯一</w:t>
            </w:r>
          </w:p>
        </w:tc>
        <w:tc>
          <w:tcPr>
            <w:tcW w:w="4173" w:type="dxa"/>
            <w:noWrap w:val="0"/>
            <w:vAlign w:val="center"/>
          </w:tcPr>
          <w:p w14:paraId="2CAC34AC">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只能在限价范围内报价，</w:t>
            </w:r>
            <w:r>
              <w:rPr>
                <w:rFonts w:hint="eastAsia" w:ascii="宋体" w:hAnsi="宋体" w:cs="宋体"/>
                <w:color w:val="000000" w:themeColor="text1"/>
                <w:szCs w:val="21"/>
                <w:highlight w:val="none"/>
                <w14:textFill>
                  <w14:solidFill>
                    <w14:schemeClr w14:val="tx1"/>
                  </w14:solidFill>
                </w14:textFill>
              </w:rPr>
              <w:t>只能有一个有效报价，不得提交选择性报价。</w:t>
            </w:r>
          </w:p>
        </w:tc>
      </w:tr>
      <w:tr w14:paraId="045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BA2BCF9">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63923E60">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0D7437B7">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 投标文件的有效期</w:t>
            </w:r>
          </w:p>
        </w:tc>
        <w:tc>
          <w:tcPr>
            <w:tcW w:w="4173" w:type="dxa"/>
            <w:noWrap w:val="0"/>
            <w:vAlign w:val="center"/>
          </w:tcPr>
          <w:p w14:paraId="1D74473E">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完全响应</w:t>
            </w:r>
          </w:p>
        </w:tc>
      </w:tr>
      <w:tr w14:paraId="1DF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6C90E93F">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04" w:type="dxa"/>
            <w:vMerge w:val="restart"/>
            <w:noWrap w:val="0"/>
            <w:vAlign w:val="center"/>
          </w:tcPr>
          <w:p w14:paraId="4DAD5356">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投标文件的完整性</w:t>
            </w:r>
          </w:p>
        </w:tc>
        <w:tc>
          <w:tcPr>
            <w:tcW w:w="2931" w:type="dxa"/>
            <w:noWrap w:val="0"/>
            <w:vAlign w:val="center"/>
          </w:tcPr>
          <w:p w14:paraId="4A2038FB">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（5）投标文件份数</w:t>
            </w:r>
          </w:p>
        </w:tc>
        <w:tc>
          <w:tcPr>
            <w:tcW w:w="4173" w:type="dxa"/>
            <w:noWrap w:val="0"/>
            <w:vAlign w:val="center"/>
          </w:tcPr>
          <w:p w14:paraId="04E5BD28">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完全响应</w:t>
            </w:r>
          </w:p>
        </w:tc>
      </w:tr>
      <w:tr w14:paraId="1C2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25D51D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502F5F58">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1646941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（6）投标文件形式内容</w:t>
            </w:r>
          </w:p>
        </w:tc>
        <w:tc>
          <w:tcPr>
            <w:tcW w:w="4173" w:type="dxa"/>
            <w:noWrap w:val="0"/>
            <w:vAlign w:val="center"/>
          </w:tcPr>
          <w:p w14:paraId="5EED5811">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投标文件内容清晰、齐全无遗漏。</w:t>
            </w:r>
          </w:p>
        </w:tc>
      </w:tr>
      <w:tr w14:paraId="3E5C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BE85746">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04" w:type="dxa"/>
            <w:vMerge w:val="restart"/>
            <w:noWrap w:val="0"/>
            <w:vAlign w:val="center"/>
          </w:tcPr>
          <w:p w14:paraId="6A56DA34">
            <w:pPr>
              <w:spacing w:line="440" w:lineRule="exact"/>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投标文件的响应程度</w:t>
            </w:r>
          </w:p>
        </w:tc>
        <w:tc>
          <w:tcPr>
            <w:tcW w:w="2931" w:type="dxa"/>
            <w:noWrap w:val="0"/>
            <w:vAlign w:val="center"/>
          </w:tcPr>
          <w:p w14:paraId="3D5A91AA">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（7）采购需求响应程度</w:t>
            </w:r>
          </w:p>
        </w:tc>
        <w:tc>
          <w:tcPr>
            <w:tcW w:w="4173" w:type="dxa"/>
            <w:noWrap w:val="0"/>
            <w:vAlign w:val="center"/>
          </w:tcPr>
          <w:p w14:paraId="35D5145F">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或优于</w:t>
            </w:r>
            <w:r>
              <w:rPr>
                <w:rFonts w:hint="eastAsia" w:ascii="宋体" w:hAnsi="宋体" w:cs="宋体"/>
                <w:color w:val="000000" w:themeColor="text1"/>
                <w:szCs w:val="21"/>
                <w:highlight w:val="none"/>
                <w:lang w:val="zh-CN"/>
                <w14:textFill>
                  <w14:solidFill>
                    <w14:schemeClr w14:val="tx1"/>
                  </w14:solidFill>
                </w14:textFill>
              </w:rPr>
              <w:t>招标文件要求</w:t>
            </w:r>
          </w:p>
        </w:tc>
      </w:tr>
      <w:tr w14:paraId="0D9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5E85BDD9">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32AEA088">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049FBD4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（8）商务条款响应程度（包括供货期、售后服务、技术培训等）</w:t>
            </w:r>
          </w:p>
        </w:tc>
        <w:tc>
          <w:tcPr>
            <w:tcW w:w="4173" w:type="dxa"/>
            <w:noWrap w:val="0"/>
            <w:vAlign w:val="center"/>
          </w:tcPr>
          <w:p w14:paraId="5F9B716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或优于</w:t>
            </w:r>
            <w:r>
              <w:rPr>
                <w:rFonts w:hint="eastAsia" w:ascii="宋体" w:hAnsi="宋体" w:cs="宋体"/>
                <w:color w:val="000000" w:themeColor="text1"/>
                <w:szCs w:val="21"/>
                <w:highlight w:val="none"/>
                <w:lang w:val="zh-CN"/>
                <w14:textFill>
                  <w14:solidFill>
                    <w14:schemeClr w14:val="tx1"/>
                  </w14:solidFill>
                </w14:textFill>
              </w:rPr>
              <w:t>招标文件要求</w:t>
            </w:r>
          </w:p>
        </w:tc>
      </w:tr>
    </w:tbl>
    <w:p w14:paraId="0ACD7001">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4.2资格审查及评分细则中涉及的有关证明材料及相关证书，投标文件中须按招标文件要求</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w:t>
      </w:r>
    </w:p>
    <w:p w14:paraId="2C7A45B6">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4.3．评标委员会判定投标文件的响应性只根据投标文件本身的内容，而不寻求外部的证据，但投标有不真实不正确的内容时除外。</w:t>
      </w:r>
    </w:p>
    <w:p w14:paraId="6CAF37F1">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4.4如果投标文件实质上没有响应招标文件的要求，评标委员会将予以拒绝，投标人不得通过修正或撤销不符合要求的偏离或保留，而使其投标成为实质上响应的投标。</w:t>
      </w:r>
    </w:p>
    <w:p w14:paraId="15888CBA">
      <w:pPr>
        <w:spacing w:line="440" w:lineRule="exact"/>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4.5只有通过初审的投标人才能进入下一步程序。</w:t>
      </w:r>
    </w:p>
    <w:p w14:paraId="62789233">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bookmarkStart w:id="59" w:name="_Toc58430319"/>
      <w:bookmarkStart w:id="60" w:name="_Toc362983803"/>
      <w:bookmarkStart w:id="61" w:name="_Toc449028879"/>
      <w:r>
        <w:rPr>
          <w:rFonts w:hint="eastAsia" w:ascii="宋体" w:hAnsi="Times New Roman" w:eastAsia="宋体" w:cs="Times New Roman"/>
          <w:b/>
          <w:color w:val="000000" w:themeColor="text1"/>
          <w:sz w:val="28"/>
          <w:szCs w:val="28"/>
          <w:highlight w:val="none"/>
          <w14:textFill>
            <w14:solidFill>
              <w14:schemeClr w14:val="tx1"/>
            </w14:solidFill>
          </w14:textFill>
        </w:rPr>
        <w:t>三、投标文件的澄清和补正</w:t>
      </w:r>
      <w:bookmarkEnd w:id="59"/>
      <w:bookmarkEnd w:id="60"/>
      <w:bookmarkEnd w:id="61"/>
    </w:p>
    <w:p w14:paraId="7C60687E">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000000" w:themeColor="text1"/>
          <w:szCs w:val="21"/>
          <w:highlight w:val="none"/>
          <w:lang w:bidi="ar"/>
          <w14:textFill>
            <w14:solidFill>
              <w14:schemeClr w14:val="tx1"/>
            </w14:solidFill>
          </w14:textFill>
        </w:rPr>
        <w:t>如因投标人未参加开标导致开评标过程中无法澄清、说明或补正的，视同投标人放弃该权利。</w:t>
      </w:r>
    </w:p>
    <w:p w14:paraId="2908EF67">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5.2投标人的澄清、说明或者补正应当在系统进行，但不得超出投标文件的范围或者改变投标文件的实质性内容。</w:t>
      </w:r>
    </w:p>
    <w:p w14:paraId="3D338C6C">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5.3评委会修正错误的原则：</w:t>
      </w:r>
    </w:p>
    <w:p w14:paraId="0C5C6609">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065FD44">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5.3.2如果单价与数量的乘积和总价不一致，以单价为准，修正总价及开标一览表；当单价小数点有明显的错位时，评委会将以总价为准，并修正其单价。</w:t>
      </w:r>
    </w:p>
    <w:p w14:paraId="342EA14C">
      <w:pPr>
        <w:spacing w:line="440" w:lineRule="exact"/>
        <w:ind w:firstLine="403" w:firstLineChars="192"/>
        <w:jc w:val="left"/>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000000" w:themeColor="text1"/>
          <w:szCs w:val="21"/>
          <w:highlight w:val="none"/>
          <w14:textFill>
            <w14:solidFill>
              <w14:schemeClr w14:val="tx1"/>
            </w14:solidFill>
          </w14:textFill>
        </w:rPr>
        <w:t>投标人拒绝对投标文件出现的错漏按上述原则进行修正、澄清、说明，评标委员会应当否决其投标。</w:t>
      </w:r>
      <w:bookmarkStart w:id="62" w:name="_Toc58430320"/>
      <w:bookmarkStart w:id="63" w:name="_Toc449028880"/>
    </w:p>
    <w:p w14:paraId="247BCB7F">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14:textFill>
            <w14:solidFill>
              <w14:schemeClr w14:val="tx1"/>
            </w14:solidFill>
          </w14:textFill>
        </w:rPr>
        <w:t>四、比较与评价</w:t>
      </w:r>
      <w:bookmarkEnd w:id="62"/>
      <w:bookmarkEnd w:id="63"/>
    </w:p>
    <w:p w14:paraId="6CE5203C">
      <w:pPr>
        <w:keepNext w:val="0"/>
        <w:keepLines w:val="0"/>
        <w:pageBreakBefore w:val="0"/>
        <w:widowControl w:val="0"/>
        <w:kinsoku/>
        <w:overflowPunct/>
        <w:topLinePunct w:val="0"/>
        <w:autoSpaceDE/>
        <w:autoSpaceDN/>
        <w:bidi w:val="0"/>
        <w:spacing w:line="440" w:lineRule="exact"/>
        <w:ind w:firstLine="417" w:firstLineChars="198"/>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6.</w:t>
      </w:r>
      <w:bookmarkStart w:id="64" w:name="_Toc362983805"/>
      <w:r>
        <w:rPr>
          <w:rFonts w:hint="eastAsia" w:ascii="宋体" w:hAnsi="宋体" w:eastAsia="宋体" w:cs="宋体"/>
          <w:b/>
          <w:color w:val="000000" w:themeColor="text1"/>
          <w:sz w:val="21"/>
          <w:szCs w:val="21"/>
          <w:highlight w:val="none"/>
          <w14:textFill>
            <w14:solidFill>
              <w14:schemeClr w14:val="tx1"/>
            </w14:solidFill>
          </w14:textFill>
        </w:rPr>
        <w:t xml:space="preserve"> 详细评审即按招标文件中规定的评标方法和标准，评标委员会将对通过初审的投标文件，进行资信、技术和商务部分评估、综合比较与评价。</w:t>
      </w:r>
    </w:p>
    <w:p w14:paraId="542FAB0B">
      <w:pPr>
        <w:keepNext w:val="0"/>
        <w:keepLines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6.1评审细则（</w:t>
      </w:r>
      <w:r>
        <w:rPr>
          <w:rFonts w:hint="eastAsia" w:ascii="宋体" w:hAnsi="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分）</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12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55E9C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230" w:type="dxa"/>
            <w:noWrap w:val="0"/>
            <w:vAlign w:val="center"/>
          </w:tcPr>
          <w:p w14:paraId="504A9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评分因素</w:t>
            </w:r>
          </w:p>
        </w:tc>
        <w:tc>
          <w:tcPr>
            <w:tcW w:w="699" w:type="dxa"/>
            <w:noWrap w:val="0"/>
            <w:vAlign w:val="center"/>
          </w:tcPr>
          <w:p w14:paraId="29AA5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c>
          <w:tcPr>
            <w:tcW w:w="7409" w:type="dxa"/>
            <w:noWrap w:val="0"/>
            <w:vAlign w:val="center"/>
          </w:tcPr>
          <w:p w14:paraId="2FF1FD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评审细则</w:t>
            </w:r>
          </w:p>
        </w:tc>
      </w:tr>
      <w:tr w14:paraId="3E74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45" w:type="dxa"/>
            <w:noWrap w:val="0"/>
            <w:vAlign w:val="center"/>
          </w:tcPr>
          <w:p w14:paraId="1D5AD3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30" w:type="dxa"/>
            <w:noWrap w:val="0"/>
            <w:vAlign w:val="center"/>
          </w:tcPr>
          <w:p w14:paraId="3F0AA4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保险</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tc>
        <w:tc>
          <w:tcPr>
            <w:tcW w:w="699" w:type="dxa"/>
            <w:noWrap w:val="0"/>
            <w:vAlign w:val="center"/>
          </w:tcPr>
          <w:p w14:paraId="007DD5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409" w:type="dxa"/>
            <w:noWrap w:val="0"/>
            <w:vAlign w:val="center"/>
          </w:tcPr>
          <w:p w14:paraId="6EE17B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自20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年1月1日以来（以合同签订时间为准）具有县区级及以上党政机关或事业单位或国有企业委托的公务用车定点保险业绩（含正在履行的保险业绩），每个业绩得20分，本项满分40分。</w:t>
            </w:r>
          </w:p>
          <w:p w14:paraId="5494D9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注：投标文件中提供业绩合同复印件加盖投标人公章，如合同中无法体现合同签订时间、项目内容、委托单位等评审因素，须另附业主证明材料复印件加盖投标人公章。</w:t>
            </w:r>
          </w:p>
        </w:tc>
      </w:tr>
      <w:tr w14:paraId="160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63C848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30" w:type="dxa"/>
            <w:noWrap w:val="0"/>
            <w:vAlign w:val="center"/>
          </w:tcPr>
          <w:p w14:paraId="75A1C6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服务网点</w:t>
            </w:r>
          </w:p>
        </w:tc>
        <w:tc>
          <w:tcPr>
            <w:tcW w:w="699" w:type="dxa"/>
            <w:noWrap w:val="0"/>
            <w:vAlign w:val="center"/>
          </w:tcPr>
          <w:p w14:paraId="3AF9A7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409" w:type="dxa"/>
            <w:noWrap w:val="0"/>
            <w:vAlign w:val="center"/>
          </w:tcPr>
          <w:p w14:paraId="1B55CC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每设一个营业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分支</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机构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/服务网点</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分，最多得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分。</w:t>
            </w:r>
          </w:p>
          <w:p w14:paraId="3BD8F4D3">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注：须提供相关的证明材料加盖投标人公章。</w:t>
            </w:r>
          </w:p>
        </w:tc>
      </w:tr>
      <w:tr w14:paraId="151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C08B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30" w:type="dxa"/>
            <w:noWrap w:val="0"/>
            <w:vAlign w:val="center"/>
          </w:tcPr>
          <w:p w14:paraId="403A7B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报价分</w:t>
            </w:r>
          </w:p>
        </w:tc>
        <w:tc>
          <w:tcPr>
            <w:tcW w:w="699" w:type="dxa"/>
            <w:noWrap w:val="0"/>
            <w:vAlign w:val="center"/>
          </w:tcPr>
          <w:p w14:paraId="00B9B3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20分</w:t>
            </w:r>
          </w:p>
        </w:tc>
        <w:tc>
          <w:tcPr>
            <w:tcW w:w="7409" w:type="dxa"/>
            <w:noWrap w:val="0"/>
            <w:vAlign w:val="center"/>
          </w:tcPr>
          <w:p w14:paraId="56657CDA">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招标人</w:t>
            </w: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设置投标报价最高限价：商业险自主定价系数投标报价不得超过135%；自主定价系数投标报价高于最高投标限价的为无效标。</w:t>
            </w:r>
          </w:p>
          <w:p w14:paraId="4161D6C7">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1.评标基准价=所有效供应商的最低报价；其得分为满分；</w:t>
            </w:r>
          </w:p>
          <w:p w14:paraId="27B6014E">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2.其它报价得分=评标基准价/投标报价*（20）分，小数点后保留二位小数，第三位四舍五入；</w:t>
            </w:r>
          </w:p>
          <w:p w14:paraId="34FEFAA0">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3.本项分值由评标委员会负责组织计算。</w:t>
            </w:r>
          </w:p>
        </w:tc>
      </w:tr>
    </w:tbl>
    <w:p w14:paraId="50008BB2">
      <w:pPr>
        <w:spacing w:line="440" w:lineRule="exact"/>
        <w:ind w:firstLine="422" w:firstLineChars="200"/>
        <w:jc w:val="left"/>
        <w:rPr>
          <w:rFonts w:hint="eastAsia"/>
          <w:color w:val="000000" w:themeColor="text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特别说明：</w:t>
      </w:r>
    </w:p>
    <w:p w14:paraId="52B0B41F">
      <w:pPr>
        <w:spacing w:line="440" w:lineRule="exact"/>
        <w:ind w:left="-420" w:leftChars="-200" w:firstLine="420" w:firstLineChars="200"/>
        <w:jc w:val="left"/>
        <w:rPr>
          <w:rFonts w:hint="eastAsia"/>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1、</w:t>
      </w:r>
      <w:r>
        <w:rPr>
          <w:rFonts w:hint="eastAsia"/>
          <w:b w:val="0"/>
          <w:bCs/>
          <w:color w:val="000000" w:themeColor="text1"/>
          <w:szCs w:val="21"/>
          <w:highlight w:val="none"/>
          <w14:textFill>
            <w14:solidFill>
              <w14:schemeClr w14:val="tx1"/>
            </w14:solidFill>
          </w14:textFill>
        </w:rPr>
        <w:t>评标专家检验投标文件的上述材料，如果由于投标人自身原因导致评标专家无法查看并检验投标文件中以上相关资料的，后果由投标人自行承担。</w:t>
      </w:r>
    </w:p>
    <w:p w14:paraId="114C68E2">
      <w:pPr>
        <w:spacing w:line="440" w:lineRule="exact"/>
        <w:ind w:left="-420" w:leftChars="-200" w:firstLine="420" w:firstLineChars="200"/>
        <w:jc w:val="left"/>
        <w:rPr>
          <w:rFonts w:hint="eastAsia"/>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2、</w:t>
      </w:r>
      <w:r>
        <w:rPr>
          <w:rFonts w:hint="eastAsia"/>
          <w:b w:val="0"/>
          <w:bCs/>
          <w:color w:val="000000" w:themeColor="text1"/>
          <w:szCs w:val="21"/>
          <w:highlight w:val="none"/>
          <w14:textFill>
            <w14:solidFill>
              <w14:schemeClr w14:val="tx1"/>
            </w14:solidFill>
          </w14:textFill>
        </w:rPr>
        <w:t>以上分值均保留二位小数，小数点后第三位四舍五入。</w:t>
      </w:r>
      <w:bookmarkStart w:id="65" w:name="_Toc449028881"/>
    </w:p>
    <w:p w14:paraId="0205976C">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bookmarkStart w:id="66" w:name="_Toc58430321"/>
      <w:r>
        <w:rPr>
          <w:rFonts w:hint="eastAsia" w:ascii="宋体" w:hAnsi="Times New Roman" w:eastAsia="宋体" w:cs="Times New Roman"/>
          <w:b/>
          <w:color w:val="000000" w:themeColor="text1"/>
          <w:sz w:val="28"/>
          <w:szCs w:val="28"/>
          <w:highlight w:val="none"/>
          <w14:textFill>
            <w14:solidFill>
              <w14:schemeClr w14:val="tx1"/>
            </w14:solidFill>
          </w14:textFill>
        </w:rPr>
        <w:t>五、推荐中标候选人</w:t>
      </w:r>
      <w:bookmarkEnd w:id="64"/>
      <w:bookmarkEnd w:id="65"/>
      <w:bookmarkEnd w:id="66"/>
    </w:p>
    <w:bookmarkEnd w:id="54"/>
    <w:p w14:paraId="2B852E1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7.评标委员会按得分之和，从高到低按顺序，根据第二章投标人须知及前附表的规定数量推荐中标候选人。</w:t>
      </w:r>
    </w:p>
    <w:p w14:paraId="380C4B3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7.1得分相同的，按投标报价由低到高顺序排列。得分且报价相同的并列，由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现场采取随机摇号的方式确定中标候选人。</w:t>
      </w:r>
    </w:p>
    <w:p w14:paraId="4657B1EE">
      <w:pPr>
        <w:snapToGrid w:val="0"/>
        <w:spacing w:line="440" w:lineRule="exact"/>
        <w:ind w:left="0" w:leftChars="0" w:firstLine="0" w:firstLineChars="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8. </w:t>
      </w:r>
      <w:bookmarkStart w:id="67" w:name="_Hlk61815781"/>
      <w:r>
        <w:rPr>
          <w:rFonts w:hint="eastAsia" w:ascii="宋体" w:hAnsi="宋体" w:cs="宋体"/>
          <w:b/>
          <w:color w:val="000000" w:themeColor="text1"/>
          <w:szCs w:val="21"/>
          <w:highlight w:val="none"/>
          <w14:textFill>
            <w14:solidFill>
              <w14:schemeClr w14:val="tx1"/>
            </w14:solidFill>
          </w14:textFill>
        </w:rPr>
        <w:t>无效投标条款</w:t>
      </w:r>
    </w:p>
    <w:p w14:paraId="2EDF0DD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8.1投标文件有下列情形之一的,其投标文件拒收:</w:t>
      </w:r>
    </w:p>
    <w:p w14:paraId="323FBB3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 未在开标截止时间前递交有效投标文件的，投标将被拒绝。</w:t>
      </w:r>
    </w:p>
    <w:p w14:paraId="2B16E415">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8.2投标人有下列情形之一的,资格审查后其投标作无效投标处理：</w:t>
      </w:r>
    </w:p>
    <w:p w14:paraId="763108B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(1)投标人为本项目提供招标代理服务的；</w:t>
      </w:r>
    </w:p>
    <w:p w14:paraId="0B9AA11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(2)投标人与在本项目代理机构存在相互任职或工作的；</w:t>
      </w:r>
    </w:p>
    <w:p w14:paraId="28A264E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评标专家无法查看并检验投标文件中相关资料的；</w:t>
      </w:r>
    </w:p>
    <w:p w14:paraId="6886830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)被暂停营业的；</w:t>
      </w:r>
    </w:p>
    <w:p w14:paraId="35B213E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)被暂停或取消投标资格的；</w:t>
      </w:r>
    </w:p>
    <w:p w14:paraId="0C3211B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)投标人单位负责人为同一人或者存在</w:t>
      </w:r>
      <w:r>
        <w:rPr>
          <w:rFonts w:hint="eastAsia" w:ascii="宋体" w:hAnsi="宋体" w:cs="宋体"/>
          <w:color w:val="000000" w:themeColor="text1"/>
          <w:szCs w:val="21"/>
          <w:highlight w:val="none"/>
          <w:lang w:val="en-US" w:eastAsia="zh-CN"/>
          <w14:textFill>
            <w14:solidFill>
              <w14:schemeClr w14:val="tx1"/>
            </w14:solidFill>
          </w14:textFill>
        </w:rPr>
        <w:t>直接</w:t>
      </w:r>
      <w:r>
        <w:rPr>
          <w:rFonts w:hint="eastAsia" w:ascii="宋体" w:hAnsi="宋体" w:cs="宋体"/>
          <w:color w:val="000000" w:themeColor="text1"/>
          <w:szCs w:val="21"/>
          <w:highlight w:val="none"/>
          <w14:textFill>
            <w14:solidFill>
              <w14:schemeClr w14:val="tx1"/>
            </w14:solidFill>
          </w14:textFill>
        </w:rPr>
        <w:t>控股、管理关系的不同单位的；</w:t>
      </w:r>
    </w:p>
    <w:p w14:paraId="36FB25C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)投标人基本资格条件和特定资格条件中有一项及以上不符合要求的；</w:t>
      </w:r>
    </w:p>
    <w:p w14:paraId="163A074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)其它情形，经评标委员会委提出按无效投标处理的；</w:t>
      </w:r>
    </w:p>
    <w:p w14:paraId="51F0607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)招标文件规定的其它无效投标情形。</w:t>
      </w:r>
    </w:p>
    <w:p w14:paraId="3321C71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8.3 投标人有下列情形之一的,符合性审查后其投标按无效投标处理：</w:t>
      </w:r>
    </w:p>
    <w:p w14:paraId="649CDCF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(1)投标文件签字、盖章不全，经评标委员会一致认定对开评标内容有实质性影响的；</w:t>
      </w:r>
    </w:p>
    <w:p w14:paraId="04529FDF">
      <w:pPr>
        <w:snapToGrid w:val="0"/>
        <w:spacing w:line="440" w:lineRule="exact"/>
        <w:ind w:left="0" w:leftChars="0" w:firstLine="0" w:firstLineChars="0"/>
        <w:jc w:val="left"/>
        <w:rPr>
          <w:rFonts w:hint="eastAsia"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未按规定的格式填写导致实质性内容不全以及实质上不响应，或者关键字迹模糊、无法辨认；</w:t>
      </w:r>
    </w:p>
    <w:p w14:paraId="1C87FB30">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(3)同一投标人提交两个以上不同的投标文件或者投标报价，但招标文件规定提交备选方案的除外；</w:t>
      </w:r>
    </w:p>
    <w:p w14:paraId="0FD8188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(4)投标文件没有对招标文件的实质性要求和条件作出响应;</w:t>
      </w:r>
    </w:p>
    <w:p w14:paraId="0294CCB4">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(5)投标报价超出规定的投标限价或公布的采购预算的；</w:t>
      </w:r>
    </w:p>
    <w:p w14:paraId="7400BC72">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(6)不按评标委员会要求澄清、说明或补正的，或者评标委员会根据招标文件的规定对招标文件的计算错误进行修正后，投标人不接受修正的投标报价的。</w:t>
      </w:r>
    </w:p>
    <w:p w14:paraId="758FFAD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(7)其它情形，经评标委员会委提出按无效投标处理的；</w:t>
      </w:r>
    </w:p>
    <w:p w14:paraId="7634DFE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(8)投标文件含有</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不能接受的附加条件的；</w:t>
      </w:r>
    </w:p>
    <w:p w14:paraId="25CA932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(9)招标文件规定的其它无效投标情形。</w:t>
      </w:r>
    </w:p>
    <w:p w14:paraId="4A95908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 投标人有下列情形之一的, 详细评审后其投标按无效投标处理：</w:t>
      </w:r>
    </w:p>
    <w:p w14:paraId="7B68CF4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(1)投标产品不符合必须强制执行的国家标准的；</w:t>
      </w:r>
    </w:p>
    <w:p w14:paraId="56AC25A4">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(2)投标人有串通投标、弄虚作假、行贿等违法行为；</w:t>
      </w:r>
    </w:p>
    <w:p w14:paraId="6E467EB1">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(3)投标文件含有违反国家法律、法规的内容，或附有</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不能接受的条件的；</w:t>
      </w:r>
    </w:p>
    <w:p w14:paraId="77E45559">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)报价明显低于其他投标人，且不能证明报价合理性的投标无效；</w:t>
      </w:r>
    </w:p>
    <w:p w14:paraId="26736D0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)拒不确认评标委员会评审修正的投标无效；</w:t>
      </w:r>
    </w:p>
    <w:p w14:paraId="7E0681C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)其它情形，经评标委员会委提出按无效投标处理的；</w:t>
      </w:r>
    </w:p>
    <w:p w14:paraId="6716A221">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)招标文件规定的其它无效投标情形。</w:t>
      </w:r>
    </w:p>
    <w:bookmarkEnd w:id="67"/>
    <w:p w14:paraId="7E8B167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宋体"/>
          <w:b/>
          <w:color w:val="000000" w:themeColor="text1"/>
          <w:sz w:val="32"/>
          <w:szCs w:val="32"/>
          <w:highlight w:val="none"/>
          <w14:textFill>
            <w14:solidFill>
              <w14:schemeClr w14:val="tx1"/>
            </w14:solidFill>
          </w14:textFill>
        </w:rPr>
      </w:pPr>
      <w:bookmarkStart w:id="68" w:name="_Toc58430328"/>
      <w:r>
        <w:rPr>
          <w:rFonts w:hint="eastAsia" w:ascii="宋体"/>
          <w:b/>
          <w:color w:val="000000" w:themeColor="text1"/>
          <w:sz w:val="32"/>
          <w:szCs w:val="32"/>
          <w:highlight w:val="none"/>
          <w14:textFill>
            <w14:solidFill>
              <w14:schemeClr w14:val="tx1"/>
            </w14:solidFill>
          </w14:textFill>
        </w:rPr>
        <w:br w:type="page"/>
      </w:r>
      <w:r>
        <w:rPr>
          <w:rFonts w:hint="eastAsia" w:ascii="宋体" w:hAnsi="Times New Roman" w:eastAsia="宋体" w:cs="Times New Roman"/>
          <w:b/>
          <w:color w:val="000000" w:themeColor="text1"/>
          <w:sz w:val="32"/>
          <w:szCs w:val="32"/>
          <w:highlight w:val="none"/>
          <w14:textFill>
            <w14:solidFill>
              <w14:schemeClr w14:val="tx1"/>
            </w14:solidFill>
          </w14:textFill>
        </w:rPr>
        <w:t>第四章  采购需求</w:t>
      </w:r>
    </w:p>
    <w:bookmarkEnd w:id="55"/>
    <w:bookmarkEnd w:id="68"/>
    <w:p w14:paraId="520B7230">
      <w:pPr>
        <w:spacing w:line="360" w:lineRule="auto"/>
        <w:jc w:val="left"/>
        <w:rPr>
          <w:rFonts w:hint="eastAsia" w:ascii="宋体" w:hAnsi="宋体"/>
          <w:b/>
          <w:color w:val="000000" w:themeColor="text1"/>
          <w:szCs w:val="21"/>
          <w14:textFill>
            <w14:solidFill>
              <w14:schemeClr w14:val="tx1"/>
            </w14:solidFill>
          </w14:textFill>
        </w:rPr>
      </w:pPr>
      <w:bookmarkStart w:id="69" w:name="_Toc449028945"/>
      <w:bookmarkStart w:id="70" w:name="_Toc58430329"/>
      <w:r>
        <w:rPr>
          <w:rFonts w:hint="eastAsia" w:ascii="宋体" w:hAnsi="宋体"/>
          <w:b/>
          <w:color w:val="000000" w:themeColor="text1"/>
          <w:szCs w:val="21"/>
          <w14:textFill>
            <w14:solidFill>
              <w14:schemeClr w14:val="tx1"/>
            </w14:solidFill>
          </w14:textFill>
        </w:rPr>
        <w:t>一、项目概况</w:t>
      </w:r>
    </w:p>
    <w:p w14:paraId="5FC0E85E">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本项目为</w:t>
      </w:r>
      <w:r>
        <w:rPr>
          <w:rFonts w:hint="eastAsia" w:ascii="宋体" w:hAnsi="宋体" w:cs="宋体"/>
          <w:bCs/>
          <w:color w:val="000000" w:themeColor="text1"/>
          <w:szCs w:val="21"/>
          <w:lang w:val="en-US" w:eastAsia="zh-CN"/>
          <w14:textFill>
            <w14:solidFill>
              <w14:schemeClr w14:val="tx1"/>
            </w14:solidFill>
          </w14:textFill>
        </w:rPr>
        <w:t>滁州市军粮供应站有限公司车辆定点保险项目</w:t>
      </w:r>
      <w:r>
        <w:rPr>
          <w:rFonts w:hint="eastAsia" w:ascii="宋体" w:hAnsi="宋体" w:cs="宋体"/>
          <w:color w:val="000000" w:themeColor="text1"/>
          <w:kern w:val="0"/>
          <w:szCs w:val="21"/>
          <w14:textFill>
            <w14:solidFill>
              <w14:schemeClr w14:val="tx1"/>
            </w14:solidFill>
          </w14:textFill>
        </w:rPr>
        <w:t>，项目服务期限</w:t>
      </w:r>
      <w:r>
        <w:rPr>
          <w:rFonts w:hint="eastAsia" w:ascii="宋体" w:hAnsi="宋体" w:cs="宋体"/>
          <w:color w:val="000000" w:themeColor="text1"/>
          <w:kern w:val="0"/>
          <w:szCs w:val="21"/>
          <w:lang w:val="en-US" w:eastAsia="zh-CN"/>
          <w14:textFill>
            <w14:solidFill>
              <w14:schemeClr w14:val="tx1"/>
            </w14:solidFill>
          </w14:textFill>
        </w:rPr>
        <w:t>为</w:t>
      </w:r>
      <w:r>
        <w:rPr>
          <w:rFonts w:hint="eastAsia" w:ascii="宋体" w:hAnsi="宋体" w:cs="宋体"/>
          <w:color w:val="000000" w:themeColor="text1"/>
          <w:kern w:val="0"/>
          <w:szCs w:val="21"/>
          <w14:textFill>
            <w14:solidFill>
              <w14:schemeClr w14:val="tx1"/>
            </w14:solidFill>
          </w14:textFill>
        </w:rPr>
        <w:t>自合同签订之日起</w:t>
      </w:r>
      <w:r>
        <w:rPr>
          <w:rFonts w:hint="eastAsia" w:ascii="宋体" w:hAnsi="宋体" w:cs="宋体"/>
          <w:color w:val="000000" w:themeColor="text1"/>
          <w:kern w:val="0"/>
          <w:szCs w:val="21"/>
          <w:lang w:val="en-US" w:eastAsia="zh-CN"/>
          <w14:textFill>
            <w14:solidFill>
              <w14:schemeClr w14:val="tx1"/>
            </w14:solidFill>
          </w14:textFill>
        </w:rPr>
        <w:t>一年</w:t>
      </w:r>
      <w:r>
        <w:rPr>
          <w:rFonts w:hint="eastAsia" w:ascii="宋体" w:hAnsi="宋体" w:cs="宋体"/>
          <w:color w:val="000000" w:themeColor="text1"/>
          <w:kern w:val="0"/>
          <w:szCs w:val="21"/>
          <w:lang w:eastAsia="zh-CN"/>
          <w14:textFill>
            <w14:solidFill>
              <w14:schemeClr w14:val="tx1"/>
            </w14:solidFill>
          </w14:textFill>
        </w:rPr>
        <w:t>。</w:t>
      </w:r>
    </w:p>
    <w:p w14:paraId="7F349A53">
      <w:pPr>
        <w:spacing w:line="360" w:lineRule="auto"/>
        <w:ind w:firstLine="435"/>
        <w:rPr>
          <w:rFonts w:hint="default" w:ascii="宋体" w:hAnsi="宋体"/>
          <w:b/>
          <w:bCs/>
          <w:color w:val="000000" w:themeColor="text1"/>
          <w:szCs w:val="21"/>
          <w:highlight w:val="yellow"/>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本次招标拟选定1家保险公司作为滁州市军粮供应站有限公司车辆定点保险服务单位；公车平台车辆总数约为</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具体详见下列清单。</w:t>
      </w:r>
      <w:r>
        <w:rPr>
          <w:rFonts w:hint="eastAsia" w:ascii="宋体" w:hAnsi="宋体"/>
          <w:b/>
          <w:bCs/>
          <w:color w:val="000000" w:themeColor="text1"/>
          <w:szCs w:val="21"/>
          <w:highlight w:val="none"/>
          <w:lang w:val="en-US" w:eastAsia="zh-CN"/>
          <w14:textFill>
            <w14:solidFill>
              <w14:schemeClr w14:val="tx1"/>
            </w14:solidFill>
          </w14:textFill>
        </w:rPr>
        <w:t>在合同履行期间,招标人如有新增车辆需要投保，中标人须按同等要求投保。</w:t>
      </w:r>
    </w:p>
    <w:tbl>
      <w:tblPr>
        <w:tblStyle w:val="37"/>
        <w:tblpPr w:leftFromText="180" w:rightFromText="180" w:vertAnchor="text" w:horzAnchor="page" w:tblpXSpec="center" w:tblpY="498"/>
        <w:tblOverlap w:val="never"/>
        <w:tblW w:w="10059" w:type="dxa"/>
        <w:jc w:val="center"/>
        <w:tblLayout w:type="fixed"/>
        <w:tblCellMar>
          <w:top w:w="0" w:type="dxa"/>
          <w:left w:w="0" w:type="dxa"/>
          <w:bottom w:w="0" w:type="dxa"/>
          <w:right w:w="0" w:type="dxa"/>
        </w:tblCellMar>
      </w:tblPr>
      <w:tblGrid>
        <w:gridCol w:w="535"/>
        <w:gridCol w:w="1094"/>
        <w:gridCol w:w="1755"/>
        <w:gridCol w:w="2175"/>
        <w:gridCol w:w="1845"/>
        <w:gridCol w:w="2655"/>
      </w:tblGrid>
      <w:tr w14:paraId="037B89D4">
        <w:tblPrEx>
          <w:tblCellMar>
            <w:top w:w="0" w:type="dxa"/>
            <w:left w:w="0" w:type="dxa"/>
            <w:bottom w:w="0" w:type="dxa"/>
            <w:right w:w="0" w:type="dxa"/>
          </w:tblCellMar>
        </w:tblPrEx>
        <w:trPr>
          <w:trHeight w:val="7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CC02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序号</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DA4B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车牌号</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B99DF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车型（品牌）</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C0F44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车架号</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71A04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注册时间</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81C3D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使用单位</w:t>
            </w:r>
          </w:p>
        </w:tc>
      </w:tr>
      <w:tr w14:paraId="0AD5D41B">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41C99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1</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74BAD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皖M00104</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FBD3D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箱式货车(豪沃)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338ED3">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LZZ1BBGE6JE682656</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2CB77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2018年5月2日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5267D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729EBE0B">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535D2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47CAB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皖MJG316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E0214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箱式货车（江铃）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023AE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LEFYEDG29MHN28874</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0F040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2021年7月5日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68FF1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4B5E7372">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08E73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3</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4FE64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皖MCL316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7DC5C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箱式货车（江铃）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095A26">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LEFYECG21LHN59206</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B96B4D">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2020年7月31日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2E6EF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5E0A59F6">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1703E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4</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3BF2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皖MLS316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B6C2D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SUV（北京现代）</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C671D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LBETLBFC9LY456437</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6A02B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2020年5月8日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EA2B6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3C3C31E3">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06CD6">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5</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AA45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皖MPS316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E2DE3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2AD98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LSYFKH2M0HG288382</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90E2FF">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2017年3月8日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6D9CC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56552047">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F1418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6</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BB496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皖MBZ316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527DE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B199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LM6LKC3FXMX114463</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B1086F">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2021年7月2日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9D6B63">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26FC2FB9">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E40A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7</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A43CF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皖MXJ316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CF41D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4C76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LSYFKH2MXHG309335</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58B32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2017年5月27日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C449D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bl>
    <w:p w14:paraId="6AA2B2A1">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二、服务需求</w:t>
      </w:r>
    </w:p>
    <w:p w14:paraId="0F5F73F2">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本次采购车辆的险种范围为交强险、车损险、第三者责任险、车上人员险四个险种（赠送的险种除外）</w:t>
      </w:r>
      <w:r>
        <w:rPr>
          <w:rFonts w:hint="eastAsia" w:ascii="宋体" w:hAnsi="宋体" w:cs="宋体"/>
          <w:color w:val="000000" w:themeColor="text1"/>
          <w:kern w:val="0"/>
          <w:szCs w:val="21"/>
          <w14:textFill>
            <w14:solidFill>
              <w14:schemeClr w14:val="tx1"/>
            </w14:solidFill>
          </w14:textFill>
        </w:rPr>
        <w:t>，投保的险种由投保人在上述险种内选择，投保人可以全部险种投保，也可以选择部分险种投保，承保人不得强制要求</w:t>
      </w:r>
      <w:r>
        <w:rPr>
          <w:rFonts w:hint="eastAsia" w:ascii="宋体" w:hAnsi="宋体"/>
          <w:color w:val="000000" w:themeColor="text1"/>
          <w:szCs w:val="21"/>
          <w14:textFill>
            <w14:solidFill>
              <w14:schemeClr w14:val="tx1"/>
            </w14:solidFill>
          </w14:textFill>
        </w:rPr>
        <w:t>。</w:t>
      </w:r>
    </w:p>
    <w:p w14:paraId="1BBF48FA">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（一）投标报价（折扣）及基准收费说明</w:t>
      </w:r>
    </w:p>
    <w:p w14:paraId="1B7D1EB3">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本项目统保险种为：车辆损失险，第三者责任险，车上人员责任险，基准保费的计算依据是</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经保险监督管理机构批准的现行非营运车辆的保险条款及费率和保费，其计算出来的保费作为基准保费，各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按照优惠比例的形式报出投标报价。具体车辆的政策性费率调整系数按照保险监督管理机构相关规定执行，各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在保险监督管理机构监管范围内按照所能承诺的折扣进行报价。</w:t>
      </w:r>
    </w:p>
    <w:p w14:paraId="4FC96112">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报价按照此公式计算：报价=自主定价系数。</w:t>
      </w:r>
      <w:r>
        <w:rPr>
          <w:rFonts w:hint="eastAsia" w:ascii="宋体" w:hAnsi="宋体"/>
          <w:color w:val="000000" w:themeColor="text1"/>
          <w:szCs w:val="21"/>
          <w14:textFill>
            <w14:solidFill>
              <w14:schemeClr w14:val="tx1"/>
            </w14:solidFill>
          </w14:textFill>
        </w:rPr>
        <w:t>NCD系数根据车险信息平台反馈的被保险车辆情况确定，不计入报价范围。</w:t>
      </w:r>
      <w:r>
        <w:rPr>
          <w:rFonts w:hint="eastAsia" w:ascii="宋体" w:hAnsi="宋体"/>
          <w:b/>
          <w:bCs/>
          <w:color w:val="000000" w:themeColor="text1"/>
          <w:szCs w:val="21"/>
          <w14:textFill>
            <w14:solidFill>
              <w14:schemeClr w14:val="tx1"/>
            </w14:solidFill>
          </w14:textFill>
        </w:rPr>
        <w:t>（如：自主定价系数为65%，则最终投标报价为65%，投标费率报价小数点后保留两位小数，第三位四舍五入，如供应商报价为65.127%，评标时</w:t>
      </w:r>
      <w:r>
        <w:rPr>
          <w:rFonts w:hint="eastAsia" w:ascii="宋体" w:hAnsi="宋体"/>
          <w:b/>
          <w:bCs/>
          <w:color w:val="000000" w:themeColor="text1"/>
          <w:szCs w:val="21"/>
          <w:lang w:val="en-US" w:eastAsia="zh-CN"/>
          <w14:textFill>
            <w14:solidFill>
              <w14:schemeClr w14:val="tx1"/>
            </w14:solidFill>
          </w14:textFill>
        </w:rPr>
        <w:t>投标人</w:t>
      </w:r>
      <w:r>
        <w:rPr>
          <w:rFonts w:hint="eastAsia" w:ascii="宋体" w:hAnsi="宋体"/>
          <w:b/>
          <w:bCs/>
          <w:color w:val="000000" w:themeColor="text1"/>
          <w:szCs w:val="21"/>
          <w14:textFill>
            <w14:solidFill>
              <w14:schemeClr w14:val="tx1"/>
            </w14:solidFill>
          </w14:textFill>
        </w:rPr>
        <w:t>的评标价按65.13%计算；若不足两位，末位默认为零，如65.1%按65.10%计算）。</w:t>
      </w:r>
    </w:p>
    <w:p w14:paraId="6F3E1D25">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所报保险类型和保险费折扣须在保监会认可的范围内，否则作无效标处理。</w:t>
      </w:r>
    </w:p>
    <w:p w14:paraId="2C88D8D8">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赠送险种将不受投标折扣报价限制。</w:t>
      </w:r>
    </w:p>
    <w:p w14:paraId="2BEF8514">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车损险中已经包含的附加险不得重复计算保费。</w:t>
      </w:r>
    </w:p>
    <w:p w14:paraId="65948836">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本次投标报价折扣率不包含交强险。</w:t>
      </w:r>
    </w:p>
    <w:p w14:paraId="3790D19B">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（二）保险的险种及限额</w:t>
      </w:r>
    </w:p>
    <w:p w14:paraId="5A2111B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车辆损失险：按现行市场价投保。</w:t>
      </w:r>
    </w:p>
    <w:p w14:paraId="22097B2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第三者责任险：不分车型，不分新旧，一律投保200万元限额。</w:t>
      </w:r>
    </w:p>
    <w:p w14:paraId="35189FDE">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车上人员责任险：按核定的座位投保，每人（座）投保限额5万元。</w:t>
      </w:r>
    </w:p>
    <w:p w14:paraId="3A22A5F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交通事故强制责任险。</w:t>
      </w:r>
    </w:p>
    <w:p w14:paraId="5FA389B7">
      <w:pPr>
        <w:pStyle w:val="18"/>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注：以上保险的险种及限额为暂定项，招标人可根据实际情况进行调整。</w:t>
      </w:r>
    </w:p>
    <w:p w14:paraId="3A5B2986">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（三）服务要求</w:t>
      </w:r>
    </w:p>
    <w:p w14:paraId="7BB8C096">
      <w:pPr>
        <w:spacing w:line="40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保险车辆涉及事故处理的损失赔偿、施救费、招标代理费、评审费等所有相关费用均应由承担责任的保险公司支付，车辆恢复的零部件必须使用原车辆的正厂配套件。</w:t>
      </w:r>
    </w:p>
    <w:p w14:paraId="28C2A15F">
      <w:pPr>
        <w:spacing w:line="40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必须在计算承诺服务项目必要费用的基础上，对上述要求产生的费用，在投标报价中进行考虑，并对此承担全部责任。</w:t>
      </w:r>
    </w:p>
    <w:p w14:paraId="03A7AA26">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定损和修理厂的确定，一般应选择4S店或采购人指定的公务车辆定点维修企业。</w:t>
      </w:r>
    </w:p>
    <w:p w14:paraId="4E8F6800">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如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不得以任何借口和方式加以拒绝。</w:t>
      </w:r>
    </w:p>
    <w:p w14:paraId="01502D4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其他服务要求：详见“保险条款”、“服务承诺”等。</w:t>
      </w:r>
    </w:p>
    <w:p w14:paraId="0F53DD74">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（四）保险费率</w:t>
      </w:r>
    </w:p>
    <w:p w14:paraId="5015FADC">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投标供应商提供的报价（即基准收费）应当以本公司在保险监督管理机构备案的费率表为依据。</w:t>
      </w:r>
    </w:p>
    <w:p w14:paraId="7ED26B17">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保费必须依据保险监督管理机构审批的非营业用车之标准费率表进行计算。</w:t>
      </w:r>
    </w:p>
    <w:p w14:paraId="0884E599">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同种车辆同等情况下保费取最低；若遇国家政策发生上调，必须经过业主方同意后方可调整保险费率。</w:t>
      </w:r>
    </w:p>
    <w:p w14:paraId="3FDC5C8A">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若参保单位投保范围超过四个险种以外的险种而且是中标单位非赠送的险种，该险种在计算其保费时，其保费折扣不得低于投标折扣。</w:t>
      </w:r>
    </w:p>
    <w:p w14:paraId="10FC8E77">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（五）保险总额：保险费总额以实际发生额为准。</w:t>
      </w:r>
    </w:p>
    <w:p w14:paraId="474A5F71">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（六）所有参保车辆赔付比例为100%即足额赔付，全损赔付金额不得低于车辆保险金额。</w:t>
      </w:r>
    </w:p>
    <w:p w14:paraId="4A908476">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（七）保险公司应提供车辆出险时的定损方法，理赔的程序、方法、期限。</w:t>
      </w:r>
    </w:p>
    <w:p w14:paraId="745A1713">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（八）保险公司应如实按时向</w:t>
      </w:r>
      <w:r>
        <w:rPr>
          <w:rFonts w:hint="eastAsia" w:ascii="宋体" w:hAnsi="宋体"/>
          <w:b/>
          <w:bCs/>
          <w:color w:val="000000" w:themeColor="text1"/>
          <w:szCs w:val="21"/>
          <w:lang w:val="en-US"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提供参加保险车辆的统计资料以及理赔的具体情况，并随时提供</w:t>
      </w:r>
      <w:r>
        <w:rPr>
          <w:rFonts w:hint="eastAsia" w:ascii="宋体" w:hAnsi="宋体"/>
          <w:b/>
          <w:bCs/>
          <w:color w:val="000000" w:themeColor="text1"/>
          <w:szCs w:val="21"/>
          <w:lang w:val="en-US"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需要的相关材料。</w:t>
      </w:r>
    </w:p>
    <w:p w14:paraId="73A1F6C1">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（九）保险公司保证提供的服务种类、服务标准、服务质量应当具有可行性、可靠性和可操作性，必须保证由专门的部门、相对稳定专业服务人员的从事承保工作。</w:t>
      </w:r>
    </w:p>
    <w:p w14:paraId="5F693544">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56FE0CB8">
      <w:pPr>
        <w:spacing w:before="156" w:beforeLines="50" w:after="156" w:afterLines="50"/>
        <w:jc w:val="center"/>
        <w:outlineLvl w:val="0"/>
        <w:rPr>
          <w:rFonts w:hint="default" w:ascii="宋体" w:eastAsia="宋体"/>
          <w:b/>
          <w:color w:val="000000" w:themeColor="text1"/>
          <w:sz w:val="32"/>
          <w:szCs w:val="32"/>
          <w:highlight w:val="none"/>
          <w:lang w:val="en-US" w:eastAsia="zh-CN"/>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第五章 合同格式（参考）</w:t>
      </w:r>
    </w:p>
    <w:p w14:paraId="0D38A597">
      <w:pPr>
        <w:spacing w:line="480" w:lineRule="exact"/>
        <w:jc w:val="center"/>
        <w:rPr>
          <w:rFonts w:hint="eastAsia" w:ascii="宋体" w:hAnsi="宋体" w:eastAsia="宋体" w:cs="宋体"/>
          <w:b/>
          <w:bCs/>
          <w:color w:val="000000" w:themeColor="text1"/>
          <w:spacing w:val="4"/>
          <w:sz w:val="32"/>
          <w:szCs w:val="32"/>
          <w:lang w:eastAsia="zh-CN"/>
          <w14:textFill>
            <w14:solidFill>
              <w14:schemeClr w14:val="tx1"/>
            </w14:solidFill>
          </w14:textFill>
        </w:rPr>
      </w:pPr>
      <w:r>
        <w:rPr>
          <w:rFonts w:hint="eastAsia" w:ascii="宋体" w:hAnsi="宋体" w:cs="宋体"/>
          <w:b/>
          <w:bCs/>
          <w:color w:val="000000" w:themeColor="text1"/>
          <w:spacing w:val="4"/>
          <w:sz w:val="32"/>
          <w:szCs w:val="32"/>
          <w:lang w:eastAsia="zh-CN"/>
          <w14:textFill>
            <w14:solidFill>
              <w14:schemeClr w14:val="tx1"/>
            </w14:solidFill>
          </w14:textFill>
        </w:rPr>
        <w:t>滁州市军粮供应站有限公司车辆定点保险项目</w:t>
      </w:r>
    </w:p>
    <w:p w14:paraId="51111DAC">
      <w:pPr>
        <w:spacing w:line="480" w:lineRule="exact"/>
        <w:jc w:val="center"/>
        <w:rPr>
          <w:rFonts w:hint="eastAsia" w:ascii="宋体" w:hAnsi="宋体" w:cs="宋体"/>
          <w:b/>
          <w:bCs/>
          <w:color w:val="000000" w:themeColor="text1"/>
          <w:spacing w:val="4"/>
          <w:sz w:val="32"/>
          <w:szCs w:val="32"/>
          <w14:textFill>
            <w14:solidFill>
              <w14:schemeClr w14:val="tx1"/>
            </w14:solidFill>
          </w14:textFill>
        </w:rPr>
      </w:pPr>
    </w:p>
    <w:p w14:paraId="4B3003CE">
      <w:pPr>
        <w:spacing w:line="480" w:lineRule="exact"/>
        <w:jc w:val="center"/>
        <w:rPr>
          <w:rFonts w:ascii="宋体" w:hAnsi="宋体" w:cs="宋体"/>
          <w:b/>
          <w:bCs/>
          <w:color w:val="000000" w:themeColor="text1"/>
          <w:spacing w:val="4"/>
          <w:sz w:val="44"/>
          <w:szCs w:val="44"/>
          <w14:textFill>
            <w14:solidFill>
              <w14:schemeClr w14:val="tx1"/>
            </w14:solidFill>
          </w14:textFill>
        </w:rPr>
      </w:pPr>
      <w:r>
        <w:rPr>
          <w:rFonts w:hint="eastAsia" w:ascii="宋体" w:hAnsi="宋体" w:cs="宋体"/>
          <w:b/>
          <w:bCs/>
          <w:color w:val="000000" w:themeColor="text1"/>
          <w:spacing w:val="4"/>
          <w:sz w:val="44"/>
          <w:szCs w:val="44"/>
          <w14:textFill>
            <w14:solidFill>
              <w14:schemeClr w14:val="tx1"/>
            </w14:solidFill>
          </w14:textFill>
        </w:rPr>
        <w:t>合同协议书</w:t>
      </w:r>
    </w:p>
    <w:p w14:paraId="09B2692A">
      <w:pPr>
        <w:spacing w:line="262" w:lineRule="auto"/>
        <w:rPr>
          <w:rFonts w:ascii="宋体"/>
          <w:color w:val="000000" w:themeColor="text1"/>
          <w14:textFill>
            <w14:solidFill>
              <w14:schemeClr w14:val="tx1"/>
            </w14:solidFill>
          </w14:textFill>
        </w:rPr>
      </w:pPr>
    </w:p>
    <w:p w14:paraId="413E2BF7">
      <w:pPr>
        <w:spacing w:line="262" w:lineRule="auto"/>
        <w:rPr>
          <w:rFonts w:ascii="宋体"/>
          <w:color w:val="000000" w:themeColor="text1"/>
          <w14:textFill>
            <w14:solidFill>
              <w14:schemeClr w14:val="tx1"/>
            </w14:solidFill>
          </w14:textFill>
        </w:rPr>
      </w:pPr>
    </w:p>
    <w:p w14:paraId="6CB9A9F6">
      <w:pPr>
        <w:spacing w:line="258" w:lineRule="auto"/>
        <w:rPr>
          <w:rFonts w:ascii="宋体"/>
          <w:color w:val="000000" w:themeColor="text1"/>
          <w14:textFill>
            <w14:solidFill>
              <w14:schemeClr w14:val="tx1"/>
            </w14:solidFill>
          </w14:textFill>
        </w:rPr>
      </w:pPr>
    </w:p>
    <w:p w14:paraId="32351558">
      <w:pPr>
        <w:spacing w:line="259" w:lineRule="auto"/>
        <w:rPr>
          <w:rFonts w:ascii="宋体"/>
          <w:color w:val="000000" w:themeColor="text1"/>
          <w14:textFill>
            <w14:solidFill>
              <w14:schemeClr w14:val="tx1"/>
            </w14:solidFill>
          </w14:textFill>
        </w:rPr>
      </w:pPr>
    </w:p>
    <w:p w14:paraId="57475C3D">
      <w:pPr>
        <w:spacing w:line="259" w:lineRule="auto"/>
        <w:rPr>
          <w:rFonts w:ascii="宋体"/>
          <w:color w:val="000000" w:themeColor="text1"/>
          <w14:textFill>
            <w14:solidFill>
              <w14:schemeClr w14:val="tx1"/>
            </w14:solidFill>
          </w14:textFill>
        </w:rPr>
      </w:pPr>
    </w:p>
    <w:p w14:paraId="540730F6">
      <w:pPr>
        <w:spacing w:line="259" w:lineRule="auto"/>
        <w:rPr>
          <w:rFonts w:ascii="宋体"/>
          <w:color w:val="000000" w:themeColor="text1"/>
          <w14:textFill>
            <w14:solidFill>
              <w14:schemeClr w14:val="tx1"/>
            </w14:solidFill>
          </w14:textFill>
        </w:rPr>
      </w:pPr>
    </w:p>
    <w:p w14:paraId="6D035F72">
      <w:pPr>
        <w:spacing w:line="259" w:lineRule="auto"/>
        <w:rPr>
          <w:rFonts w:ascii="宋体"/>
          <w:color w:val="000000" w:themeColor="text1"/>
          <w14:textFill>
            <w14:solidFill>
              <w14:schemeClr w14:val="tx1"/>
            </w14:solidFill>
          </w14:textFill>
        </w:rPr>
      </w:pPr>
    </w:p>
    <w:p w14:paraId="31CF52FB">
      <w:pPr>
        <w:spacing w:line="259" w:lineRule="auto"/>
        <w:rPr>
          <w:rFonts w:ascii="宋体"/>
          <w:color w:val="000000" w:themeColor="text1"/>
          <w14:textFill>
            <w14:solidFill>
              <w14:schemeClr w14:val="tx1"/>
            </w14:solidFill>
          </w14:textFill>
        </w:rPr>
      </w:pPr>
    </w:p>
    <w:p w14:paraId="2CFF6474">
      <w:pPr>
        <w:spacing w:line="259" w:lineRule="auto"/>
        <w:rPr>
          <w:rFonts w:ascii="宋体"/>
          <w:color w:val="000000" w:themeColor="text1"/>
          <w14:textFill>
            <w14:solidFill>
              <w14:schemeClr w14:val="tx1"/>
            </w14:solidFill>
          </w14:textFill>
        </w:rPr>
      </w:pPr>
    </w:p>
    <w:p w14:paraId="49103429">
      <w:pPr>
        <w:spacing w:line="243" w:lineRule="auto"/>
        <w:rPr>
          <w:rFonts w:ascii="宋体"/>
          <w:color w:val="000000" w:themeColor="text1"/>
          <w14:textFill>
            <w14:solidFill>
              <w14:schemeClr w14:val="tx1"/>
            </w14:solidFill>
          </w14:textFill>
        </w:rPr>
      </w:pPr>
    </w:p>
    <w:p w14:paraId="7494E22C">
      <w:pPr>
        <w:spacing w:line="243" w:lineRule="auto"/>
        <w:rPr>
          <w:rFonts w:ascii="宋体"/>
          <w:color w:val="000000" w:themeColor="text1"/>
          <w14:textFill>
            <w14:solidFill>
              <w14:schemeClr w14:val="tx1"/>
            </w14:solidFill>
          </w14:textFill>
        </w:rPr>
      </w:pPr>
    </w:p>
    <w:p w14:paraId="615F8C65">
      <w:pPr>
        <w:spacing w:line="243" w:lineRule="auto"/>
        <w:rPr>
          <w:rFonts w:ascii="宋体"/>
          <w:color w:val="000000" w:themeColor="text1"/>
          <w14:textFill>
            <w14:solidFill>
              <w14:schemeClr w14:val="tx1"/>
            </w14:solidFill>
          </w14:textFill>
        </w:rPr>
      </w:pPr>
    </w:p>
    <w:p w14:paraId="04E3234A">
      <w:pPr>
        <w:spacing w:line="244" w:lineRule="auto"/>
        <w:rPr>
          <w:rFonts w:ascii="宋体"/>
          <w:color w:val="000000" w:themeColor="text1"/>
          <w14:textFill>
            <w14:solidFill>
              <w14:schemeClr w14:val="tx1"/>
            </w14:solidFill>
          </w14:textFill>
        </w:rPr>
      </w:pPr>
    </w:p>
    <w:p w14:paraId="62AE2C76">
      <w:pPr>
        <w:spacing w:line="244" w:lineRule="auto"/>
        <w:rPr>
          <w:rFonts w:ascii="宋体"/>
          <w:color w:val="000000" w:themeColor="text1"/>
          <w14:textFill>
            <w14:solidFill>
              <w14:schemeClr w14:val="tx1"/>
            </w14:solidFill>
          </w14:textFill>
        </w:rPr>
      </w:pPr>
    </w:p>
    <w:p w14:paraId="34F20587">
      <w:pPr>
        <w:spacing w:line="244" w:lineRule="auto"/>
        <w:rPr>
          <w:rFonts w:ascii="宋体"/>
          <w:color w:val="000000" w:themeColor="text1"/>
          <w14:textFill>
            <w14:solidFill>
              <w14:schemeClr w14:val="tx1"/>
            </w14:solidFill>
          </w14:textFill>
        </w:rPr>
      </w:pPr>
    </w:p>
    <w:p w14:paraId="6865396F">
      <w:pPr>
        <w:spacing w:line="480" w:lineRule="auto"/>
        <w:ind w:left="1001" w:right="-94"/>
        <w:jc w:val="left"/>
        <w:rPr>
          <w:rFonts w:ascii="宋体" w:hAnsi="宋体" w:cs="宋体"/>
          <w:color w:val="000000" w:themeColor="text1"/>
          <w:spacing w:val="2"/>
          <w:sz w:val="25"/>
          <w:szCs w:val="25"/>
          <w14:textFill>
            <w14:solidFill>
              <w14:schemeClr w14:val="tx1"/>
            </w14:solidFill>
          </w14:textFill>
        </w:rPr>
      </w:pPr>
      <w:r>
        <w:rPr>
          <w:rFonts w:ascii="宋体" w:hAnsi="宋体" w:cs="宋体"/>
          <w:color w:val="000000" w:themeColor="text1"/>
          <w:spacing w:val="-17"/>
          <w:sz w:val="24"/>
          <w14:textFill>
            <w14:solidFill>
              <w14:schemeClr w14:val="tx1"/>
            </w14:solidFill>
          </w14:textFill>
        </w:rPr>
        <w:t>项目名称</w:t>
      </w:r>
      <w:r>
        <w:rPr>
          <w:rFonts w:ascii="宋体" w:hAnsi="宋体" w:cs="宋体"/>
          <w:color w:val="000000" w:themeColor="text1"/>
          <w:spacing w:val="-25"/>
          <w:sz w:val="24"/>
          <w14:textFill>
            <w14:solidFill>
              <w14:schemeClr w14:val="tx1"/>
            </w14:solidFill>
          </w14:textFill>
        </w:rPr>
        <w:t>：</w:t>
      </w:r>
      <w:r>
        <w:rPr>
          <w:rFonts w:hint="eastAsia" w:ascii="宋体" w:hAnsi="宋体" w:cs="宋体"/>
          <w:color w:val="000000" w:themeColor="text1"/>
          <w:spacing w:val="4"/>
          <w:sz w:val="22"/>
          <w:szCs w:val="22"/>
          <w:u w:val="single"/>
          <w:lang w:eastAsia="zh-CN"/>
          <w14:textFill>
            <w14:solidFill>
              <w14:schemeClr w14:val="tx1"/>
            </w14:solidFill>
          </w14:textFill>
        </w:rPr>
        <w:t>滁州市军粮供应站有限公司车辆定点保险项目（</w:t>
      </w:r>
      <w:r>
        <w:rPr>
          <w:rFonts w:hint="eastAsia" w:ascii="宋体" w:hAnsi="宋体" w:cs="宋体"/>
          <w:color w:val="000000" w:themeColor="text1"/>
          <w:spacing w:val="4"/>
          <w:sz w:val="22"/>
          <w:szCs w:val="22"/>
          <w:u w:val="single"/>
          <w:lang w:val="en-US" w:eastAsia="zh-CN"/>
          <w14:textFill>
            <w14:solidFill>
              <w14:schemeClr w14:val="tx1"/>
            </w14:solidFill>
          </w14:textFill>
        </w:rPr>
        <w:t>二次）</w:t>
      </w:r>
      <w:r>
        <w:rPr>
          <w:rFonts w:ascii="宋体" w:hAnsi="宋体" w:cs="宋体"/>
          <w:color w:val="000000" w:themeColor="text1"/>
          <w:spacing w:val="2"/>
          <w:sz w:val="25"/>
          <w:szCs w:val="25"/>
          <w14:textFill>
            <w14:solidFill>
              <w14:schemeClr w14:val="tx1"/>
            </w14:solidFill>
          </w14:textFill>
        </w:rPr>
        <w:t xml:space="preserve"> </w:t>
      </w:r>
    </w:p>
    <w:p w14:paraId="4DA9FC1E">
      <w:pPr>
        <w:spacing w:line="480" w:lineRule="auto"/>
        <w:ind w:left="1001" w:right="-94"/>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2"/>
          <w:w w:val="94"/>
          <w:sz w:val="24"/>
          <w14:textFill>
            <w14:solidFill>
              <w14:schemeClr w14:val="tx1"/>
            </w14:solidFill>
          </w14:textFill>
        </w:rPr>
        <w:t>项目编号：</w:t>
      </w:r>
      <w:r>
        <w:rPr>
          <w:rFonts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p>
    <w:p w14:paraId="2BF1DD24">
      <w:pPr>
        <w:spacing w:line="480" w:lineRule="auto"/>
        <w:ind w:left="1001" w:right="238"/>
        <w:rPr>
          <w:rFonts w:ascii="宋体" w:hAnsi="宋体" w:cs="宋体"/>
          <w:color w:val="000000" w:themeColor="text1"/>
          <w:spacing w:val="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甲方（采购人</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pacing w:val="1"/>
          <w:sz w:val="24"/>
          <w:u w:val="single"/>
          <w14:textFill>
            <w14:solidFill>
              <w14:schemeClr w14:val="tx1"/>
            </w14:solidFill>
          </w14:textFill>
        </w:rPr>
        <w:t xml:space="preserve"> </w:t>
      </w:r>
      <w:r>
        <w:rPr>
          <w:rFonts w:hint="eastAsia" w:ascii="宋体" w:hAnsi="宋体" w:cs="宋体"/>
          <w:b/>
          <w:color w:val="000000" w:themeColor="text1"/>
          <w:kern w:val="0"/>
          <w:sz w:val="24"/>
          <w:u w:val="single"/>
          <w14:textFill>
            <w14:solidFill>
              <w14:schemeClr w14:val="tx1"/>
            </w14:solidFill>
          </w14:textFill>
        </w:rPr>
        <w:t>滁州市军粮供应站有限公司</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 xml:space="preserve">              </w:t>
      </w:r>
    </w:p>
    <w:p w14:paraId="571B5BDA">
      <w:pPr>
        <w:spacing w:line="480" w:lineRule="auto"/>
        <w:ind w:left="1001" w:right="238"/>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乙方（</w:t>
      </w:r>
      <w:r>
        <w:rPr>
          <w:rFonts w:hint="eastAsia" w:ascii="宋体" w:hAnsi="宋体" w:cs="宋体"/>
          <w:color w:val="000000" w:themeColor="text1"/>
          <w:spacing w:val="-24"/>
          <w:sz w:val="24"/>
          <w14:textFill>
            <w14:solidFill>
              <w14:schemeClr w14:val="tx1"/>
            </w14:solidFill>
          </w14:textFill>
        </w:rPr>
        <w:t>供应商</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0B8EB845">
      <w:pPr>
        <w:spacing w:line="480" w:lineRule="auto"/>
        <w:ind w:firstLine="998"/>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签订地</w:t>
      </w:r>
      <w:r>
        <w:rPr>
          <w:rFonts w:hint="eastAsia" w:ascii="宋体" w:hAnsi="宋体" w:cs="宋体"/>
          <w:color w:val="000000" w:themeColor="text1"/>
          <w:spacing w:val="-24"/>
          <w:sz w:val="24"/>
          <w14:textFill>
            <w14:solidFill>
              <w14:schemeClr w14:val="tx1"/>
            </w14:solidFill>
          </w14:textFill>
        </w:rPr>
        <w:t>点</w:t>
      </w:r>
      <w:r>
        <w:rPr>
          <w:rFonts w:ascii="宋体" w:hAnsi="宋体" w:cs="宋体"/>
          <w:color w:val="000000" w:themeColor="text1"/>
          <w:spacing w:val="-24"/>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6BC739D8">
      <w:pPr>
        <w:pStyle w:val="36"/>
        <w:spacing w:after="0" w:line="480" w:lineRule="auto"/>
        <w:ind w:firstLine="576" w:firstLineChars="300"/>
        <w:rPr>
          <w:rFonts w:hint="eastAsia" w:ascii="宋体" w:hAnsi="宋体" w:cs="宋体"/>
          <w:b/>
          <w:color w:val="000000" w:themeColor="text1"/>
          <w:kern w:val="0"/>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签订日期：</w:t>
      </w:r>
      <w:r>
        <w:rPr>
          <w:rFonts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pacing w:val="-24"/>
          <w:w w:val="99"/>
          <w:sz w:val="24"/>
          <w14:textFill>
            <w14:solidFill>
              <w14:schemeClr w14:val="tx1"/>
            </w14:solidFill>
          </w14:textFill>
        </w:rPr>
        <w:t>年</w:t>
      </w:r>
      <w:r>
        <w:rPr>
          <w:rFonts w:ascii="宋体" w:hAnsi="宋体" w:cs="宋体"/>
          <w:color w:val="000000" w:themeColor="text1"/>
          <w:spacing w:val="2"/>
          <w:sz w:val="24"/>
          <w:u w:val="single"/>
          <w14:textFill>
            <w14:solidFill>
              <w14:schemeClr w14:val="tx1"/>
            </w14:solidFill>
          </w14:textFill>
        </w:rPr>
        <w:t xml:space="preserve">       </w:t>
      </w:r>
      <w:r>
        <w:rPr>
          <w:rFonts w:ascii="宋体" w:hAnsi="宋体" w:cs="宋体"/>
          <w:color w:val="000000" w:themeColor="text1"/>
          <w:spacing w:val="-24"/>
          <w:w w:val="99"/>
          <w:sz w:val="24"/>
          <w14:textFill>
            <w14:solidFill>
              <w14:schemeClr w14:val="tx1"/>
            </w14:solidFill>
          </w14:textFill>
        </w:rPr>
        <w:t>月</w:t>
      </w:r>
      <w:r>
        <w:rPr>
          <w:rFonts w:ascii="宋体" w:hAnsi="宋体" w:cs="宋体"/>
          <w:color w:val="000000" w:themeColor="text1"/>
          <w:spacing w:val="7"/>
          <w:sz w:val="24"/>
          <w:u w:val="single"/>
          <w14:textFill>
            <w14:solidFill>
              <w14:schemeClr w14:val="tx1"/>
            </w14:solidFill>
          </w14:textFill>
        </w:rPr>
        <w:t xml:space="preserve">       </w:t>
      </w:r>
    </w:p>
    <w:p w14:paraId="691859A9">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57F9CBCA">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71170FF6">
      <w:pPr>
        <w:rPr>
          <w:rFonts w:hint="eastAsia"/>
          <w:b/>
          <w:bCs/>
          <w:color w:val="000000" w:themeColor="text1"/>
          <w:sz w:val="24"/>
          <w:szCs w:val="22"/>
          <w14:textFill>
            <w14:solidFill>
              <w14:schemeClr w14:val="tx1"/>
            </w14:solidFill>
          </w14:textFill>
        </w:rPr>
      </w:pPr>
    </w:p>
    <w:p w14:paraId="4771BB5A">
      <w:pPr>
        <w:pStyle w:val="18"/>
        <w:rPr>
          <w:rFonts w:hint="eastAsia"/>
          <w:b/>
          <w:bCs/>
          <w:color w:val="000000" w:themeColor="text1"/>
          <w:szCs w:val="22"/>
          <w14:textFill>
            <w14:solidFill>
              <w14:schemeClr w14:val="tx1"/>
            </w14:solidFill>
          </w14:textFill>
        </w:rPr>
      </w:pPr>
    </w:p>
    <w:p w14:paraId="4C4739B6">
      <w:pPr>
        <w:pStyle w:val="18"/>
        <w:rPr>
          <w:rFonts w:hint="eastAsia"/>
          <w:b/>
          <w:bCs/>
          <w:color w:val="000000" w:themeColor="text1"/>
          <w:szCs w:val="22"/>
          <w14:textFill>
            <w14:solidFill>
              <w14:schemeClr w14:val="tx1"/>
            </w14:solidFill>
          </w14:textFill>
        </w:rPr>
      </w:pPr>
    </w:p>
    <w:p w14:paraId="009DEA9F">
      <w:pPr>
        <w:pStyle w:val="18"/>
        <w:rPr>
          <w:rFonts w:hint="eastAsia"/>
          <w:b/>
          <w:bCs/>
          <w:color w:val="000000" w:themeColor="text1"/>
          <w:szCs w:val="22"/>
          <w14:textFill>
            <w14:solidFill>
              <w14:schemeClr w14:val="tx1"/>
            </w14:solidFill>
          </w14:textFill>
        </w:rPr>
      </w:pPr>
    </w:p>
    <w:p w14:paraId="339D5F21">
      <w:pPr>
        <w:pStyle w:val="18"/>
        <w:rPr>
          <w:rFonts w:hint="eastAsia"/>
          <w:b/>
          <w:bCs/>
          <w:color w:val="000000" w:themeColor="text1"/>
          <w:szCs w:val="22"/>
          <w14:textFill>
            <w14:solidFill>
              <w14:schemeClr w14:val="tx1"/>
            </w14:solidFill>
          </w14:textFill>
        </w:rPr>
      </w:pPr>
    </w:p>
    <w:p w14:paraId="6CA62519">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28D8A0D7">
      <w:pPr>
        <w:pStyle w:val="36"/>
        <w:ind w:left="0" w:leftChars="0" w:firstLine="0" w:firstLineChars="0"/>
        <w:jc w:val="center"/>
        <w:rPr>
          <w:b/>
          <w:bCs/>
          <w:color w:val="000000" w:themeColor="text1"/>
          <w:sz w:val="24"/>
          <w:szCs w:val="22"/>
          <w14:textFill>
            <w14:solidFill>
              <w14:schemeClr w14:val="tx1"/>
            </w14:solidFill>
          </w14:textFill>
        </w:rPr>
      </w:pPr>
      <w:r>
        <w:rPr>
          <w:rFonts w:hint="eastAsia"/>
          <w:b/>
          <w:bCs/>
          <w:color w:val="000000" w:themeColor="text1"/>
          <w:sz w:val="24"/>
          <w:szCs w:val="22"/>
          <w:lang w:eastAsia="zh-CN"/>
          <w14:textFill>
            <w14:solidFill>
              <w14:schemeClr w14:val="tx1"/>
            </w14:solidFill>
          </w14:textFill>
        </w:rPr>
        <w:t>滁州市军粮供应站有限公司车辆定点保险项目（</w:t>
      </w:r>
      <w:r>
        <w:rPr>
          <w:rFonts w:hint="eastAsia"/>
          <w:b/>
          <w:bCs/>
          <w:color w:val="000000" w:themeColor="text1"/>
          <w:sz w:val="24"/>
          <w:szCs w:val="22"/>
          <w:lang w:val="en-US" w:eastAsia="zh-CN"/>
          <w14:textFill>
            <w14:solidFill>
              <w14:schemeClr w14:val="tx1"/>
            </w14:solidFill>
          </w14:textFill>
        </w:rPr>
        <w:t>二次）</w:t>
      </w:r>
      <w:r>
        <w:rPr>
          <w:rFonts w:hint="eastAsia"/>
          <w:b/>
          <w:bCs/>
          <w:color w:val="000000" w:themeColor="text1"/>
          <w:sz w:val="24"/>
          <w:szCs w:val="22"/>
          <w14:textFill>
            <w14:solidFill>
              <w14:schemeClr w14:val="tx1"/>
            </w14:solidFill>
          </w14:textFill>
        </w:rPr>
        <w:t>合同协议</w:t>
      </w:r>
    </w:p>
    <w:p w14:paraId="41F60330">
      <w:pPr>
        <w:spacing w:line="4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w:t>
      </w:r>
      <w:r>
        <w:rPr>
          <w:rFonts w:hint="eastAsia" w:ascii="宋体" w:hAnsi="宋体"/>
          <w:color w:val="000000" w:themeColor="text1"/>
          <w:szCs w:val="21"/>
          <w:u w:val="single"/>
          <w14:textFill>
            <w14:solidFill>
              <w14:schemeClr w14:val="tx1"/>
            </w14:solidFill>
          </w14:textFill>
        </w:rPr>
        <w:t xml:space="preserve">                              </w:t>
      </w:r>
    </w:p>
    <w:p w14:paraId="361FAE15">
      <w:pPr>
        <w:pStyle w:val="36"/>
        <w:spacing w:after="0" w:line="460" w:lineRule="exact"/>
        <w:ind w:left="0" w:leftChars="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乙方：</w:t>
      </w:r>
      <w:r>
        <w:rPr>
          <w:rFonts w:hint="eastAsia"/>
          <w:color w:val="000000" w:themeColor="text1"/>
          <w:szCs w:val="21"/>
          <w:u w:val="single"/>
          <w14:textFill>
            <w14:solidFill>
              <w14:schemeClr w14:val="tx1"/>
            </w14:solidFill>
          </w14:textFill>
        </w:rPr>
        <w:t xml:space="preserve">                              </w:t>
      </w:r>
    </w:p>
    <w:p w14:paraId="7492ADBF">
      <w:pPr>
        <w:pStyle w:val="36"/>
        <w:spacing w:after="0" w:line="460" w:lineRule="exact"/>
        <w:ind w:left="0" w:leftChars="0"/>
        <w:rPr>
          <w:color w:val="000000" w:themeColor="text1"/>
          <w:szCs w:val="21"/>
          <w14:textFill>
            <w14:solidFill>
              <w14:schemeClr w14:val="tx1"/>
            </w14:solidFill>
          </w14:textFill>
        </w:rPr>
      </w:pPr>
      <w:r>
        <w:rPr>
          <w:color w:val="000000" w:themeColor="text1"/>
          <w:szCs w:val="21"/>
          <w14:textFill>
            <w14:solidFill>
              <w14:schemeClr w14:val="tx1"/>
            </w14:solidFill>
          </w14:textFill>
        </w:rPr>
        <w:t>依据《中华人民共和国</w:t>
      </w:r>
      <w:r>
        <w:rPr>
          <w:rFonts w:hint="eastAsia"/>
          <w:color w:val="000000" w:themeColor="text1"/>
          <w:szCs w:val="21"/>
          <w14:textFill>
            <w14:solidFill>
              <w14:schemeClr w14:val="tx1"/>
            </w14:solidFill>
          </w14:textFill>
        </w:rPr>
        <w:t>民法典</w:t>
      </w:r>
      <w:r>
        <w:rPr>
          <w:color w:val="000000" w:themeColor="text1"/>
          <w:szCs w:val="21"/>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"http://baike.baidu.com/view/84119.htm" \t "_blank"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中华人民共和国保险法</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"http://baike.baidu.com/view/8132331.htm" \t "_blank"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机动车辆商业保险示范条款</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》以及其他有关</w:t>
      </w:r>
      <w:r>
        <w:rPr>
          <w:rFonts w:hint="eastAsia"/>
          <w:color w:val="000000" w:themeColor="text1"/>
          <w:szCs w:val="21"/>
          <w14:textFill>
            <w14:solidFill>
              <w14:schemeClr w14:val="tx1"/>
            </w14:solidFill>
          </w14:textFill>
        </w:rPr>
        <w:t>车辆</w:t>
      </w:r>
      <w:r>
        <w:rPr>
          <w:color w:val="000000" w:themeColor="text1"/>
          <w:szCs w:val="21"/>
          <w14:textFill>
            <w14:solidFill>
              <w14:schemeClr w14:val="tx1"/>
            </w14:solidFill>
          </w14:textFill>
        </w:rPr>
        <w:t>保险管理的法律、行政法规、规章以及建设规划批准文件，遵循平等、自愿、公平和诚实信用的原则，经</w:t>
      </w:r>
      <w:r>
        <w:rPr>
          <w:rFonts w:hint="eastAsia"/>
          <w:color w:val="000000" w:themeColor="text1"/>
          <w:szCs w:val="21"/>
          <w14:textFill>
            <w14:solidFill>
              <w14:schemeClr w14:val="tx1"/>
            </w14:solidFill>
          </w14:textFill>
        </w:rPr>
        <w:t>甲乙</w:t>
      </w:r>
      <w:r>
        <w:rPr>
          <w:color w:val="000000" w:themeColor="text1"/>
          <w:szCs w:val="21"/>
          <w14:textFill>
            <w14:solidFill>
              <w14:schemeClr w14:val="tx1"/>
            </w14:solidFill>
          </w14:textFill>
        </w:rPr>
        <w:t>双方协商一致，签订本合同。</w:t>
      </w:r>
    </w:p>
    <w:p w14:paraId="1737DCA8">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第一条  定义</w:t>
      </w:r>
    </w:p>
    <w:p w14:paraId="129918C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系指甲方与乙方签署的、合同格式中载明的甲方与乙方所达成的协议，包括所有的附件、附录和构成合同的所有文件。招标文件、供应商的投标文件和中标通知书，为本合同不可分割的组成部分，具有同等的法律效力。</w:t>
      </w:r>
    </w:p>
    <w:p w14:paraId="426CE8DE">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2、服务系指根据合同规定乙方应承担的义务及相关的后续服务。比如上门服务、24小时受理索赔接报案、限时理赔支付赔款、无偿提供保险知识培训和其他类似的乙方应承担的义务。</w:t>
      </w:r>
    </w:p>
    <w:p w14:paraId="2A95CEC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3、“甲方”系指组织机动车辆定点保险招标的滁州市军粮供应站有限公司。</w:t>
      </w:r>
    </w:p>
    <w:p w14:paraId="13FD7C1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4、“乙方”系指提供机动车辆定点保险服务的保险机构。</w:t>
      </w:r>
    </w:p>
    <w:p w14:paraId="0F16447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5、“被保险单位”系指具体接受机动车保险服务的公务用车单位。</w:t>
      </w:r>
    </w:p>
    <w:p w14:paraId="19CE765C">
      <w:pPr>
        <w:spacing w:line="46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第二条 </w:t>
      </w:r>
      <w:r>
        <w:rPr>
          <w:rFonts w:hint="eastAsia" w:ascii="宋体" w:hAnsi="宋体"/>
          <w:color w:val="000000" w:themeColor="text1"/>
          <w:szCs w:val="21"/>
          <w14:textFill>
            <w14:solidFill>
              <w14:schemeClr w14:val="tx1"/>
            </w14:solidFill>
          </w14:textFill>
        </w:rPr>
        <w:t xml:space="preserve"> 为规范支出，节约经费，降低政府运作成本，根据《中华人民共和国政府采购法》，经双方协商，甲方正式确定乙方为滁州市军粮供应站有限公司公务车辆定点保险单位。</w:t>
      </w:r>
    </w:p>
    <w:p w14:paraId="26DEB83C">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服务期限</w:t>
      </w:r>
    </w:p>
    <w:p w14:paraId="6FD2A30C">
      <w:pPr>
        <w:spacing w:line="460" w:lineRule="exact"/>
        <w:ind w:firstLine="420" w:firstLineChars="200"/>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    年  月  日起至     年  月  日止</w:t>
      </w:r>
    </w:p>
    <w:p w14:paraId="638FBC50">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承保</w:t>
      </w:r>
    </w:p>
    <w:p w14:paraId="74FCDED4">
      <w:pPr>
        <w:spacing w:line="460" w:lineRule="exact"/>
        <w:ind w:left="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1、保险项目包括：包含：①车损险、②车上人员责任险(车上每个座位5万元)、③第三者责任险（限额200万元）、④交通事故责任强制保险、</w:t>
      </w:r>
      <w:r>
        <w:rPr>
          <w:rFonts w:hint="eastAsia" w:ascii="宋体" w:hAnsi="宋体"/>
          <w:color w:val="000000" w:themeColor="text1"/>
          <w:szCs w:val="21"/>
          <w14:textFill>
            <w14:solidFill>
              <w14:schemeClr w14:val="tx1"/>
            </w14:solidFill>
          </w14:textFill>
        </w:rPr>
        <w:fldChar w:fldCharType="begin"/>
      </w:r>
      <w:r>
        <w:rPr>
          <w:rFonts w:hint="eastAsia" w:ascii="宋体" w:hAnsi="宋体"/>
          <w:color w:val="000000" w:themeColor="text1"/>
          <w:szCs w:val="21"/>
          <w14:textFill>
            <w14:solidFill>
              <w14:schemeClr w14:val="tx1"/>
            </w14:solidFill>
          </w14:textFill>
        </w:rPr>
        <w:instrText xml:space="preserve"> = 5 \* GB3 \* MERGEFORMAT </w:instrText>
      </w:r>
      <w:r>
        <w:rPr>
          <w:rFonts w:hint="eastAsia" w:ascii="宋体" w:hAnsi="宋体"/>
          <w:color w:val="000000" w:themeColor="text1"/>
          <w:szCs w:val="2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免费赠送的险种 。</w:t>
      </w:r>
    </w:p>
    <w:p w14:paraId="4C893601">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2、合同价：具体保费总价以实际承保车辆数量及车辆实际保费为准。</w:t>
      </w:r>
    </w:p>
    <w:p w14:paraId="4B1AC082">
      <w:pPr>
        <w:spacing w:line="46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乙方向甲方承诺</w:t>
      </w:r>
      <w:r>
        <w:rPr>
          <w:rFonts w:hint="eastAsia"/>
          <w:color w:val="000000" w:themeColor="text1"/>
          <w:szCs w:val="21"/>
          <w14:textFill>
            <w14:solidFill>
              <w14:schemeClr w14:val="tx1"/>
            </w14:solidFill>
          </w14:textFill>
        </w:rPr>
        <w:t>，按照投标文件内所报</w:t>
      </w:r>
      <w:r>
        <w:rPr>
          <w:rFonts w:hint="eastAsia" w:ascii="宋体" w:hAnsi="宋体" w:cs="宋体"/>
          <w:b/>
          <w:bCs/>
          <w:color w:val="000000" w:themeColor="text1"/>
          <w:szCs w:val="21"/>
          <w14:textFill>
            <w14:solidFill>
              <w14:schemeClr w14:val="tx1"/>
            </w14:solidFill>
          </w14:textFill>
        </w:rPr>
        <w:t>定价系数计算</w:t>
      </w:r>
      <w:r>
        <w:rPr>
          <w:rFonts w:hint="eastAsia"/>
          <w:color w:val="000000" w:themeColor="text1"/>
          <w:szCs w:val="21"/>
          <w14:textFill>
            <w14:solidFill>
              <w14:schemeClr w14:val="tx1"/>
            </w14:solidFill>
          </w14:textFill>
        </w:rPr>
        <w:t>保险费用：</w:t>
      </w:r>
    </w:p>
    <w:p w14:paraId="3212F398">
      <w:pPr>
        <w:spacing w:line="460" w:lineRule="exact"/>
        <w:ind w:left="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中标合同价报价系数：商业险自主定价系数大写：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2806D53B">
      <w:pPr>
        <w:spacing w:line="460" w:lineRule="exact"/>
        <w:ind w:firstLine="2520" w:firstLineChars="1200"/>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商业险自主定价系数小写：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642E71A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在参保车辆的保险责任期内，若承保人的保险政策发生变动，</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应及时以书面形式通知</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，投保人有权享受其优惠政策。</w:t>
      </w:r>
    </w:p>
    <w:p w14:paraId="3EDD5C6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w:t>
      </w:r>
      <w:r>
        <w:rPr>
          <w:rFonts w:ascii="宋体" w:hAnsi="宋体"/>
          <w:color w:val="000000" w:themeColor="text1"/>
          <w:szCs w:val="21"/>
          <w14:textFill>
            <w14:solidFill>
              <w14:schemeClr w14:val="tx1"/>
            </w14:solidFill>
          </w14:textFill>
        </w:rPr>
        <w:t>必须建立专门的服务机构，指定专人负责，确定地点，形成整套的规章制度和服务体系,为服务对象办理承保、理赔、保费结算、车辆统保信息汇总等业务。</w:t>
      </w:r>
    </w:p>
    <w:p w14:paraId="0374EF5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承保人在保险责任期内，将所承保的有关保费资料统计提交</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 xml:space="preserve">，统计资料包括投保的具体单位、车型、车辆号码、数量、保费总额及理赔情况等。 </w:t>
      </w:r>
    </w:p>
    <w:p w14:paraId="66F2B7A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承保人应接受电话预约投保、业务咨询以及上门接受投保；测算投保车辆的保费并提供保费测算单；投保人根据实际情况选择投保金额，承保人应即时办理车辆保险手续并送交保单和发票，投保人依据</w:t>
      </w:r>
      <w:r>
        <w:rPr>
          <w:rFonts w:hint="eastAsia" w:ascii="宋体" w:hAnsi="宋体"/>
          <w:color w:val="000000" w:themeColor="text1"/>
          <w:szCs w:val="21"/>
          <w14:textFill>
            <w14:solidFill>
              <w14:schemeClr w14:val="tx1"/>
            </w14:solidFill>
          </w14:textFill>
        </w:rPr>
        <w:t>实际保费转账</w:t>
      </w:r>
      <w:r>
        <w:rPr>
          <w:rFonts w:ascii="宋体" w:hAnsi="宋体"/>
          <w:color w:val="000000" w:themeColor="text1"/>
          <w:szCs w:val="21"/>
          <w14:textFill>
            <w14:solidFill>
              <w14:schemeClr w14:val="tx1"/>
            </w14:solidFill>
          </w14:textFill>
        </w:rPr>
        <w:t>支付保费。</w:t>
      </w:r>
    </w:p>
    <w:p w14:paraId="26FF88AC">
      <w:pPr>
        <w:spacing w:line="46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第五条 </w:t>
      </w:r>
      <w:r>
        <w:rPr>
          <w:rFonts w:hint="eastAsia" w:ascii="宋体" w:hAnsi="宋体"/>
          <w:b/>
          <w:color w:val="000000" w:themeColor="text1"/>
          <w:szCs w:val="21"/>
          <w14:textFill>
            <w14:solidFill>
              <w14:schemeClr w14:val="tx1"/>
            </w14:solidFill>
          </w14:textFill>
        </w:rPr>
        <w:t>付款方式：依据见费出单的规定，本项目按每月实际出单保险费用全额支付。</w:t>
      </w:r>
    </w:p>
    <w:p w14:paraId="4C5B1F32">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双方的权利和义务</w:t>
      </w:r>
    </w:p>
    <w:p w14:paraId="2D59ADC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1、采购人（参保单位）</w:t>
      </w:r>
      <w:r>
        <w:rPr>
          <w:rFonts w:ascii="宋体" w:hAnsi="宋体"/>
          <w:color w:val="000000" w:themeColor="text1"/>
          <w:szCs w:val="21"/>
          <w14:textFill>
            <w14:solidFill>
              <w14:schemeClr w14:val="tx1"/>
            </w14:solidFill>
          </w14:textFill>
        </w:rPr>
        <w:t>的权利和义务</w:t>
      </w:r>
    </w:p>
    <w:p w14:paraId="018183B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w:t>
      </w:r>
      <w:r>
        <w:rPr>
          <w:rFonts w:ascii="宋体" w:hAnsi="宋体"/>
          <w:color w:val="000000" w:themeColor="text1"/>
          <w:szCs w:val="21"/>
          <w14:textFill>
            <w14:solidFill>
              <w14:schemeClr w14:val="tx1"/>
            </w14:solidFill>
          </w14:textFill>
        </w:rPr>
        <w:t>有权</w:t>
      </w:r>
      <w:r>
        <w:rPr>
          <w:rFonts w:hint="eastAsia" w:ascii="宋体" w:hAnsi="宋体"/>
          <w:color w:val="000000" w:themeColor="text1"/>
          <w:szCs w:val="21"/>
          <w14:textFill>
            <w14:solidFill>
              <w14:schemeClr w14:val="tx1"/>
            </w14:solidFill>
          </w14:textFill>
        </w:rPr>
        <w:t>按照</w:t>
      </w:r>
      <w:r>
        <w:rPr>
          <w:rFonts w:ascii="宋体" w:hAnsi="宋体"/>
          <w:color w:val="000000" w:themeColor="text1"/>
          <w:szCs w:val="21"/>
          <w14:textFill>
            <w14:solidFill>
              <w14:schemeClr w14:val="tx1"/>
            </w14:solidFill>
          </w14:textFill>
        </w:rPr>
        <w:t>交易文件、合同、</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投</w:t>
      </w:r>
      <w:r>
        <w:rPr>
          <w:rFonts w:ascii="宋体" w:hAnsi="宋体"/>
          <w:color w:val="000000" w:themeColor="text1"/>
          <w:szCs w:val="21"/>
          <w14:textFill>
            <w14:solidFill>
              <w14:schemeClr w14:val="tx1"/>
            </w14:solidFill>
          </w14:textFill>
        </w:rPr>
        <w:t>标资料（响应文件）及</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承诺</w:t>
      </w:r>
      <w:r>
        <w:rPr>
          <w:rFonts w:hint="eastAsia" w:ascii="宋体" w:hAnsi="宋体"/>
          <w:color w:val="000000" w:themeColor="text1"/>
          <w:szCs w:val="21"/>
          <w14:textFill>
            <w14:solidFill>
              <w14:schemeClr w14:val="tx1"/>
            </w14:solidFill>
          </w14:textFill>
        </w:rPr>
        <w:t>来对供应商</w:t>
      </w:r>
      <w:r>
        <w:rPr>
          <w:rFonts w:ascii="宋体" w:hAnsi="宋体"/>
          <w:color w:val="000000" w:themeColor="text1"/>
          <w:szCs w:val="21"/>
          <w14:textFill>
            <w14:solidFill>
              <w14:schemeClr w14:val="tx1"/>
            </w14:solidFill>
          </w14:textFill>
        </w:rPr>
        <w:t>进行日常考核</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监督检查和管理，</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建立退出递补机制；</w:t>
      </w:r>
    </w:p>
    <w:p w14:paraId="125B6BC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（2）参保单位</w:t>
      </w:r>
      <w:r>
        <w:rPr>
          <w:rFonts w:ascii="宋体" w:hAnsi="宋体"/>
          <w:color w:val="000000" w:themeColor="text1"/>
          <w:szCs w:val="21"/>
          <w14:textFill>
            <w14:solidFill>
              <w14:schemeClr w14:val="tx1"/>
            </w14:solidFill>
          </w14:textFill>
        </w:rPr>
        <w:t>有权要求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保险</w:t>
      </w:r>
      <w:r>
        <w:rPr>
          <w:rFonts w:ascii="宋体" w:hAnsi="宋体"/>
          <w:color w:val="000000" w:themeColor="text1"/>
          <w:szCs w:val="21"/>
          <w14:textFill>
            <w14:solidFill>
              <w14:schemeClr w14:val="tx1"/>
            </w14:solidFill>
          </w14:textFill>
        </w:rPr>
        <w:t>服务产品的</w:t>
      </w:r>
      <w:r>
        <w:rPr>
          <w:rFonts w:hint="eastAsia" w:ascii="宋体" w:hAnsi="宋体"/>
          <w:color w:val="000000" w:themeColor="text1"/>
          <w:szCs w:val="21"/>
          <w14:textFill>
            <w14:solidFill>
              <w14:schemeClr w14:val="tx1"/>
            </w14:solidFill>
          </w14:textFill>
        </w:rPr>
        <w:t>正规</w:t>
      </w:r>
      <w:r>
        <w:rPr>
          <w:rFonts w:ascii="宋体" w:hAnsi="宋体"/>
          <w:color w:val="000000" w:themeColor="text1"/>
          <w:szCs w:val="21"/>
          <w14:textFill>
            <w14:solidFill>
              <w14:schemeClr w14:val="tx1"/>
            </w14:solidFill>
          </w14:textFill>
        </w:rPr>
        <w:t>发票</w:t>
      </w:r>
      <w:r>
        <w:rPr>
          <w:rFonts w:hint="eastAsia" w:ascii="宋体" w:hAnsi="宋体"/>
          <w:color w:val="000000" w:themeColor="text1"/>
          <w:szCs w:val="21"/>
          <w14:textFill>
            <w14:solidFill>
              <w14:schemeClr w14:val="tx1"/>
            </w14:solidFill>
          </w14:textFill>
        </w:rPr>
        <w:t>；</w:t>
      </w:r>
    </w:p>
    <w:p w14:paraId="0E2E55A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（3）采购人有权根据</w:t>
      </w:r>
      <w:r>
        <w:rPr>
          <w:rFonts w:ascii="宋体" w:hAnsi="宋体"/>
          <w:color w:val="000000" w:themeColor="text1"/>
          <w:szCs w:val="21"/>
          <w14:textFill>
            <w14:solidFill>
              <w14:schemeClr w14:val="tx1"/>
            </w14:solidFill>
          </w14:textFill>
        </w:rPr>
        <w:t>乙方业务开展和履行合同情况，在市级政府采购网或其他媒体上公布</w:t>
      </w:r>
      <w:r>
        <w:rPr>
          <w:rFonts w:hint="eastAsia" w:ascii="宋体" w:hAnsi="宋体"/>
          <w:color w:val="000000" w:themeColor="text1"/>
          <w:szCs w:val="21"/>
          <w14:textFill>
            <w14:solidFill>
              <w14:schemeClr w14:val="tx1"/>
            </w14:solidFill>
          </w14:textFill>
        </w:rPr>
        <w:t>；</w:t>
      </w:r>
    </w:p>
    <w:p w14:paraId="62FDF02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（4）若</w:t>
      </w:r>
      <w:r>
        <w:rPr>
          <w:rFonts w:ascii="宋体" w:hAnsi="宋体"/>
          <w:color w:val="000000" w:themeColor="text1"/>
          <w:szCs w:val="21"/>
          <w14:textFill>
            <w14:solidFill>
              <w14:schemeClr w14:val="tx1"/>
            </w14:solidFill>
          </w14:textFill>
        </w:rPr>
        <w:t>国家政策</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地方规定</w:t>
      </w:r>
      <w:r>
        <w:rPr>
          <w:rFonts w:hint="eastAsia" w:ascii="宋体" w:hAnsi="宋体"/>
          <w:color w:val="000000" w:themeColor="text1"/>
          <w:szCs w:val="21"/>
          <w14:textFill>
            <w14:solidFill>
              <w14:schemeClr w14:val="tx1"/>
            </w14:solidFill>
          </w14:textFill>
        </w:rPr>
        <w:t>发生</w:t>
      </w:r>
      <w:r>
        <w:rPr>
          <w:rFonts w:ascii="宋体" w:hAnsi="宋体"/>
          <w:color w:val="000000" w:themeColor="text1"/>
          <w:szCs w:val="21"/>
          <w14:textFill>
            <w14:solidFill>
              <w14:schemeClr w14:val="tx1"/>
            </w14:solidFill>
          </w14:textFill>
        </w:rPr>
        <w:t>变化，</w:t>
      </w:r>
      <w:r>
        <w:rPr>
          <w:rFonts w:hint="eastAsia" w:ascii="宋体" w:hAnsi="宋体"/>
          <w:color w:val="000000" w:themeColor="text1"/>
          <w:szCs w:val="21"/>
          <w14:textFill>
            <w14:solidFill>
              <w14:schemeClr w14:val="tx1"/>
            </w14:solidFill>
          </w14:textFill>
        </w:rPr>
        <w:t>参保单位</w:t>
      </w:r>
      <w:r>
        <w:rPr>
          <w:rFonts w:ascii="宋体" w:hAnsi="宋体"/>
          <w:color w:val="000000" w:themeColor="text1"/>
          <w:szCs w:val="21"/>
          <w14:textFill>
            <w14:solidFill>
              <w14:schemeClr w14:val="tx1"/>
            </w14:solidFill>
          </w14:textFill>
        </w:rPr>
        <w:t>有权</w:t>
      </w:r>
      <w:r>
        <w:rPr>
          <w:rFonts w:hint="eastAsia" w:ascii="宋体" w:hAnsi="宋体"/>
          <w:color w:val="000000" w:themeColor="text1"/>
          <w:szCs w:val="21"/>
          <w14:textFill>
            <w14:solidFill>
              <w14:schemeClr w14:val="tx1"/>
            </w14:solidFill>
          </w14:textFill>
        </w:rPr>
        <w:t>根据</w:t>
      </w:r>
      <w:r>
        <w:rPr>
          <w:rFonts w:ascii="宋体" w:hAnsi="宋体"/>
          <w:color w:val="000000" w:themeColor="text1"/>
          <w:szCs w:val="21"/>
          <w14:textFill>
            <w14:solidFill>
              <w14:schemeClr w14:val="tx1"/>
            </w14:solidFill>
          </w14:textFill>
        </w:rPr>
        <w:t>实际情况</w:t>
      </w:r>
      <w:r>
        <w:rPr>
          <w:rFonts w:hint="eastAsia" w:ascii="宋体" w:hAnsi="宋体"/>
          <w:color w:val="000000" w:themeColor="text1"/>
          <w:szCs w:val="21"/>
          <w14:textFill>
            <w14:solidFill>
              <w14:schemeClr w14:val="tx1"/>
            </w14:solidFill>
          </w14:textFill>
        </w:rPr>
        <w:t>要求供应商</w:t>
      </w:r>
      <w:r>
        <w:rPr>
          <w:rFonts w:ascii="宋体" w:hAnsi="宋体"/>
          <w:color w:val="000000" w:themeColor="text1"/>
          <w:szCs w:val="21"/>
          <w14:textFill>
            <w14:solidFill>
              <w14:schemeClr w14:val="tx1"/>
            </w14:solidFill>
          </w14:textFill>
        </w:rPr>
        <w:t>调整</w:t>
      </w:r>
      <w:r>
        <w:rPr>
          <w:rFonts w:hint="eastAsia" w:ascii="宋体" w:hAnsi="宋体"/>
          <w:color w:val="000000" w:themeColor="text1"/>
          <w:szCs w:val="21"/>
          <w14:textFill>
            <w14:solidFill>
              <w14:schemeClr w14:val="tx1"/>
            </w14:solidFill>
          </w14:textFill>
        </w:rPr>
        <w:t>保险</w:t>
      </w:r>
      <w:r>
        <w:rPr>
          <w:rFonts w:ascii="宋体" w:hAnsi="宋体"/>
          <w:color w:val="000000" w:themeColor="text1"/>
          <w:szCs w:val="21"/>
          <w14:textFill>
            <w14:solidFill>
              <w14:schemeClr w14:val="tx1"/>
            </w14:solidFill>
          </w14:textFill>
        </w:rPr>
        <w:t>服务产品的价格</w:t>
      </w:r>
      <w:r>
        <w:rPr>
          <w:rFonts w:hint="eastAsia" w:ascii="宋体" w:hAnsi="宋体"/>
          <w:color w:val="000000" w:themeColor="text1"/>
          <w:szCs w:val="21"/>
          <w14:textFill>
            <w14:solidFill>
              <w14:schemeClr w14:val="tx1"/>
            </w14:solidFill>
          </w14:textFill>
        </w:rPr>
        <w:t>；</w:t>
      </w:r>
    </w:p>
    <w:p w14:paraId="6FF7210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（5）参保单位</w:t>
      </w:r>
      <w:r>
        <w:rPr>
          <w:rFonts w:ascii="宋体" w:hAnsi="宋体"/>
          <w:color w:val="000000" w:themeColor="text1"/>
          <w:szCs w:val="21"/>
          <w14:textFill>
            <w14:solidFill>
              <w14:schemeClr w14:val="tx1"/>
            </w14:solidFill>
          </w14:textFill>
        </w:rPr>
        <w:t>有权要求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积极配合所需</w:t>
      </w:r>
      <w:r>
        <w:rPr>
          <w:rFonts w:hint="eastAsia" w:ascii="宋体" w:hAnsi="宋体"/>
          <w:color w:val="000000" w:themeColor="text1"/>
          <w:szCs w:val="21"/>
          <w14:textFill>
            <w14:solidFill>
              <w14:schemeClr w14:val="tx1"/>
            </w14:solidFill>
          </w14:textFill>
        </w:rPr>
        <w:t>投</w:t>
      </w:r>
      <w:r>
        <w:rPr>
          <w:rFonts w:ascii="宋体" w:hAnsi="宋体"/>
          <w:color w:val="000000" w:themeColor="text1"/>
          <w:szCs w:val="21"/>
          <w14:textFill>
            <w14:solidFill>
              <w14:schemeClr w14:val="tx1"/>
            </w14:solidFill>
          </w14:textFill>
        </w:rPr>
        <w:t>保车辆的入险手续</w:t>
      </w:r>
      <w:r>
        <w:rPr>
          <w:rFonts w:hint="eastAsia" w:ascii="宋体" w:hAnsi="宋体"/>
          <w:color w:val="000000" w:themeColor="text1"/>
          <w:szCs w:val="21"/>
          <w14:textFill>
            <w14:solidFill>
              <w14:schemeClr w14:val="tx1"/>
            </w14:solidFill>
          </w14:textFill>
        </w:rPr>
        <w:t>；</w:t>
      </w:r>
    </w:p>
    <w:p w14:paraId="36BDA2F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（6）参保单位有</w:t>
      </w:r>
      <w:r>
        <w:rPr>
          <w:rFonts w:ascii="宋体" w:hAnsi="宋体"/>
          <w:color w:val="000000" w:themeColor="text1"/>
          <w:szCs w:val="21"/>
          <w14:textFill>
            <w14:solidFill>
              <w14:schemeClr w14:val="tx1"/>
            </w14:solidFill>
          </w14:textFill>
        </w:rPr>
        <w:t>按时支付保险费用的义务；</w:t>
      </w:r>
    </w:p>
    <w:p w14:paraId="760B3477">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（7）参保单位有配合供应商办理承保车辆入险手续的义务；</w:t>
      </w:r>
    </w:p>
    <w:p w14:paraId="4B228999">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（8）在合同有效期内，乙方承诺的中标价格为最高限价，参保单位可与乙方在最高限价下进行议价。</w:t>
      </w:r>
    </w:p>
    <w:p w14:paraId="3C742AF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的权利和义务</w:t>
      </w:r>
    </w:p>
    <w:p w14:paraId="7D24E40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有要求</w:t>
      </w:r>
      <w:r>
        <w:rPr>
          <w:rFonts w:hint="eastAsia" w:ascii="宋体" w:hAnsi="宋体"/>
          <w:color w:val="000000" w:themeColor="text1"/>
          <w:szCs w:val="21"/>
          <w14:textFill>
            <w14:solidFill>
              <w14:schemeClr w14:val="tx1"/>
            </w14:solidFill>
          </w14:textFill>
        </w:rPr>
        <w:t>参保单位</w:t>
      </w:r>
      <w:r>
        <w:rPr>
          <w:rFonts w:ascii="宋体" w:hAnsi="宋体"/>
          <w:color w:val="000000" w:themeColor="text1"/>
          <w:szCs w:val="21"/>
          <w14:textFill>
            <w14:solidFill>
              <w14:schemeClr w14:val="tx1"/>
            </w14:solidFill>
          </w14:textFill>
        </w:rPr>
        <w:t>按时支付保险服务产品费用的权利；</w:t>
      </w:r>
    </w:p>
    <w:p w14:paraId="693581E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有要求</w:t>
      </w:r>
      <w:r>
        <w:rPr>
          <w:rFonts w:hint="eastAsia" w:ascii="宋体" w:hAnsi="宋体"/>
          <w:color w:val="000000" w:themeColor="text1"/>
          <w:szCs w:val="21"/>
          <w14:textFill>
            <w14:solidFill>
              <w14:schemeClr w14:val="tx1"/>
            </w14:solidFill>
          </w14:textFill>
        </w:rPr>
        <w:t>参保单位提供</w:t>
      </w:r>
      <w:r>
        <w:rPr>
          <w:rFonts w:ascii="宋体" w:hAnsi="宋体"/>
          <w:color w:val="000000" w:themeColor="text1"/>
          <w:szCs w:val="21"/>
          <w14:textFill>
            <w14:solidFill>
              <w14:schemeClr w14:val="tx1"/>
            </w14:solidFill>
          </w14:textFill>
        </w:rPr>
        <w:t>办理车辆保险</w:t>
      </w:r>
      <w:r>
        <w:rPr>
          <w:rFonts w:hint="eastAsia" w:ascii="宋体" w:hAnsi="宋体"/>
          <w:color w:val="000000" w:themeColor="text1"/>
          <w:szCs w:val="21"/>
          <w14:textFill>
            <w14:solidFill>
              <w14:schemeClr w14:val="tx1"/>
            </w14:solidFill>
          </w14:textFill>
        </w:rPr>
        <w:t>所需材料的</w:t>
      </w:r>
      <w:r>
        <w:rPr>
          <w:rFonts w:ascii="宋体" w:hAnsi="宋体"/>
          <w:color w:val="000000" w:themeColor="text1"/>
          <w:szCs w:val="21"/>
          <w14:textFill>
            <w14:solidFill>
              <w14:schemeClr w14:val="tx1"/>
            </w14:solidFill>
          </w14:textFill>
        </w:rPr>
        <w:t>权利；</w:t>
      </w:r>
    </w:p>
    <w:p w14:paraId="36BB461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w:t>
      </w:r>
      <w:r>
        <w:rPr>
          <w:rFonts w:ascii="宋体" w:hAnsi="宋体"/>
          <w:color w:val="000000" w:themeColor="text1"/>
          <w:szCs w:val="21"/>
          <w14:textFill>
            <w14:solidFill>
              <w14:schemeClr w14:val="tx1"/>
            </w14:solidFill>
          </w14:textFill>
        </w:rPr>
        <w:t>有履行交易文件、合同、投标资料（</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服务承诺的义务；</w:t>
      </w:r>
    </w:p>
    <w:p w14:paraId="48BB6DC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w:t>
      </w:r>
      <w:r>
        <w:rPr>
          <w:rFonts w:ascii="宋体" w:hAnsi="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接受参保单位</w:t>
      </w:r>
      <w:r>
        <w:rPr>
          <w:rFonts w:ascii="宋体" w:hAnsi="宋体"/>
          <w:color w:val="000000" w:themeColor="text1"/>
          <w:szCs w:val="21"/>
          <w14:textFill>
            <w14:solidFill>
              <w14:schemeClr w14:val="tx1"/>
            </w14:solidFill>
          </w14:textFill>
        </w:rPr>
        <w:t>监督，并积极配合包括但不限于车辆</w:t>
      </w:r>
      <w:r>
        <w:rPr>
          <w:rFonts w:hint="eastAsia" w:ascii="宋体" w:hAnsi="宋体"/>
          <w:color w:val="000000" w:themeColor="text1"/>
          <w:szCs w:val="21"/>
          <w14:textFill>
            <w14:solidFill>
              <w14:schemeClr w14:val="tx1"/>
            </w14:solidFill>
          </w14:textFill>
        </w:rPr>
        <w:t>入险</w:t>
      </w:r>
      <w:r>
        <w:rPr>
          <w:rFonts w:ascii="宋体" w:hAnsi="宋体"/>
          <w:color w:val="000000" w:themeColor="text1"/>
          <w:szCs w:val="21"/>
          <w14:textFill>
            <w14:solidFill>
              <w14:schemeClr w14:val="tx1"/>
            </w14:solidFill>
          </w14:textFill>
        </w:rPr>
        <w:t>等</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义务。</w:t>
      </w:r>
    </w:p>
    <w:p w14:paraId="6CEA99C1">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违约处罚</w:t>
      </w:r>
    </w:p>
    <w:p w14:paraId="01A678E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1、如果在参保单位发出车辆事故报案后1天内，供应商未能采取处理措施，参保单位有权要求乙方赔偿相应损失，并可单方终止合同；</w:t>
      </w:r>
    </w:p>
    <w:p w14:paraId="2FBA2BA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2、如果乙方遇到特大事故不能及时处理，应及时以书面形式将不能及时处理的理由、延误时间通知参保单位；</w:t>
      </w:r>
    </w:p>
    <w:p w14:paraId="43C5405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3、如果参保单位不能按照合同约定时间及时支付价款，乙方有权要求终止合同；</w:t>
      </w:r>
    </w:p>
    <w:p w14:paraId="0599330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参保单位对乙方进行投诉的，对于投诉达到三次（含三次）的或乙方出现违反本合同约定情况的，甲方均有权要求乙方进行整改或单方解除合同，乙方因违约行为给各参保单位造成的损失还应承担相应赔偿责任。</w:t>
      </w:r>
    </w:p>
    <w:p w14:paraId="324C1967">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第八条 合同争议的解决  </w:t>
      </w:r>
    </w:p>
    <w:p w14:paraId="39CC5FDE">
      <w:pPr>
        <w:spacing w:line="4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本合同履行过程中发生的争议，双方当事人均可通过和解或者调解解决；不愿和解、调解或者和解、调解不成的，可以向滁州市人民法院起诉解决。</w:t>
      </w:r>
    </w:p>
    <w:p w14:paraId="71FA989C">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其他服务要求</w:t>
      </w:r>
    </w:p>
    <w:p w14:paraId="68D47D4A">
      <w:pPr>
        <w:spacing w:line="46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1、保险车辆涉及事故处理的损失赔偿、施救费、招标代理费、评审费等所有相关费用均应由承担责任的保险公司支付，车辆恢复的零部件必须使用原车辆的正厂配套件。</w:t>
      </w:r>
    </w:p>
    <w:p w14:paraId="6B4D2C10">
      <w:pPr>
        <w:spacing w:line="46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2、供应商必须在计算承诺服务项目必要费用的基础上，对上述要求产生的费用，在投标报价中进行考虑，并对此承担全部责任。</w:t>
      </w:r>
    </w:p>
    <w:p w14:paraId="250E7D37">
      <w:pPr>
        <w:spacing w:line="460" w:lineRule="exact"/>
        <w:ind w:firstLine="342" w:firstLineChars="16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3、定损和修理厂的确定，一般应选择4S店或采购人指定的公务车辆定点维修企业。</w:t>
      </w:r>
    </w:p>
    <w:p w14:paraId="0FA7CC6C">
      <w:pPr>
        <w:spacing w:line="460" w:lineRule="exact"/>
        <w:ind w:firstLine="342" w:firstLineChars="16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甲方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供应商不得以任何借口和方式加以拒绝。</w:t>
      </w:r>
    </w:p>
    <w:p w14:paraId="1125197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5、其他服务要求：详见“保险条款”、“服务承诺”等。</w:t>
      </w:r>
    </w:p>
    <w:p w14:paraId="680D6F37">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第十条  理赔</w:t>
      </w:r>
    </w:p>
    <w:p w14:paraId="1CC39E77">
      <w:pPr>
        <w:spacing w:line="460" w:lineRule="exact"/>
        <w:ind w:firstLine="420" w:firstLineChars="200"/>
        <w:rPr>
          <w:rFonts w:ascii="宋体" w:hAnsi="宋体"/>
          <w:color w:val="000000" w:themeColor="text1"/>
          <w:szCs w:val="21"/>
          <w14:textFill>
            <w14:solidFill>
              <w14:schemeClr w14:val="tx1"/>
            </w14:solidFill>
          </w14:textFill>
        </w:rPr>
      </w:pPr>
      <w:bookmarkStart w:id="71" w:name="_Toc42086312"/>
      <w:r>
        <w:rPr>
          <w:rFonts w:hint="eastAsia" w:ascii="宋体" w:hAnsi="宋体"/>
          <w:color w:val="000000" w:themeColor="text1"/>
          <w:szCs w:val="21"/>
          <w14:textFill>
            <w14:solidFill>
              <w14:schemeClr w14:val="tx1"/>
            </w14:solidFill>
          </w14:textFill>
        </w:rPr>
        <w:t>（一）出险报案</w:t>
      </w:r>
      <w:bookmarkEnd w:id="71"/>
    </w:p>
    <w:p w14:paraId="69197F3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中标单位需为本项目被保险单位提供二种报案方式：</w:t>
      </w:r>
    </w:p>
    <w:p w14:paraId="51AFB6A1">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①服务专线提供24小时×365天接报案服务，在全国范围内开通的保险服务专线电话，客户可在全国各地任何地点拨打专线客服将帮助客户迅速完成报案理赔等工作、并负责对客户索赔提供指导。</w:t>
      </w:r>
    </w:p>
    <w:p w14:paraId="5C8F6CA8">
      <w:pPr>
        <w:pStyle w:val="5"/>
        <w:spacing w:before="0" w:after="0" w:line="460" w:lineRule="exact"/>
        <w:ind w:firstLine="420" w:firstLineChars="200"/>
        <w:rPr>
          <w:rFonts w:hint="eastAsia" w:ascii="宋体" w:hAnsi="宋体" w:eastAsia="宋体"/>
          <w:b w:val="0"/>
          <w:bCs w:val="0"/>
          <w:color w:val="000000" w:themeColor="text1"/>
          <w:kern w:val="2"/>
          <w:sz w:val="21"/>
          <w:szCs w:val="21"/>
          <w14:textFill>
            <w14:solidFill>
              <w14:schemeClr w14:val="tx1"/>
            </w14:solidFill>
          </w14:textFill>
        </w:rPr>
      </w:pPr>
      <w:r>
        <w:rPr>
          <w:rFonts w:hint="eastAsia" w:ascii="宋体" w:hAnsi="宋体" w:eastAsia="宋体"/>
          <w:b w:val="0"/>
          <w:bCs w:val="0"/>
          <w:color w:val="000000" w:themeColor="text1"/>
          <w:kern w:val="2"/>
          <w:sz w:val="21"/>
          <w:szCs w:val="21"/>
          <w14:textFill>
            <w14:solidFill>
              <w14:schemeClr w14:val="tx1"/>
            </w14:solidFill>
          </w14:textFill>
        </w:rPr>
        <w:t>②被保险人报案后，受理报案的人员将按VIP客户服务标准处理报案。接报案人员进行报案处理后立即通知事故发生地的调度人员进行案件的调度、理赔处理等。</w:t>
      </w:r>
    </w:p>
    <w:p w14:paraId="402C013A">
      <w:pPr>
        <w:numPr>
          <w:ilvl w:val="0"/>
          <w:numId w:val="9"/>
        </w:numPr>
        <w:spacing w:line="460" w:lineRule="exact"/>
        <w:ind w:firstLine="420" w:firstLineChars="200"/>
        <w:rPr>
          <w:rFonts w:hint="eastAsia"/>
          <w:color w:val="000000" w:themeColor="text1"/>
          <w:szCs w:val="21"/>
          <w14:textFill>
            <w14:solidFill>
              <w14:schemeClr w14:val="tx1"/>
            </w14:solidFill>
          </w14:textFill>
        </w:rPr>
      </w:pPr>
      <w:bookmarkStart w:id="72" w:name="_Toc462750694"/>
      <w:bookmarkStart w:id="73" w:name="_Toc340930804"/>
      <w:bookmarkStart w:id="74" w:name="_Toc340927742"/>
      <w:bookmarkStart w:id="75" w:name="_Toc440308773"/>
      <w:bookmarkStart w:id="76" w:name="_Toc448478464"/>
      <w:bookmarkStart w:id="77" w:name="_Toc449087604"/>
      <w:bookmarkStart w:id="78" w:name="_Toc26812967"/>
      <w:bookmarkStart w:id="79" w:name="_Toc445365195"/>
      <w:bookmarkStart w:id="80" w:name="_Toc407357260"/>
      <w:bookmarkStart w:id="81" w:name="_Toc42086313"/>
      <w:r>
        <w:rPr>
          <w:rFonts w:hint="eastAsia" w:ascii="宋体" w:hAnsi="宋体"/>
          <w:color w:val="000000" w:themeColor="text1"/>
          <w:szCs w:val="21"/>
          <w14:textFill>
            <w14:solidFill>
              <w14:schemeClr w14:val="tx1"/>
            </w14:solidFill>
          </w14:textFill>
        </w:rPr>
        <w:t>查勘</w:t>
      </w:r>
      <w:bookmarkEnd w:id="72"/>
      <w:bookmarkEnd w:id="73"/>
      <w:bookmarkEnd w:id="74"/>
      <w:bookmarkEnd w:id="75"/>
      <w:bookmarkEnd w:id="76"/>
      <w:bookmarkEnd w:id="77"/>
      <w:bookmarkEnd w:id="78"/>
      <w:bookmarkEnd w:id="79"/>
      <w:bookmarkEnd w:id="80"/>
      <w:r>
        <w:rPr>
          <w:rFonts w:hint="eastAsia" w:ascii="宋体" w:hAnsi="宋体"/>
          <w:color w:val="000000" w:themeColor="text1"/>
          <w:szCs w:val="21"/>
          <w14:textFill>
            <w14:solidFill>
              <w14:schemeClr w14:val="tx1"/>
            </w14:solidFill>
          </w14:textFill>
        </w:rPr>
        <w:t>方案及服务承诺</w:t>
      </w:r>
      <w:bookmarkEnd w:id="81"/>
    </w:p>
    <w:p w14:paraId="66A2281E">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勘定损人员实行全天候、24小时服务，查勘定损人员接到查勘指令后会积极与客户取得联系，在规定的时间内到达现场或向客户明确到达时间。不能按时到达的，在规定或约定的时间前主动联系客户，说明情况。</w:t>
      </w:r>
    </w:p>
    <w:p w14:paraId="2BD504FB">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事故地点在县外的，乙方应及时直接派人前去或委托当地本系统保险公司或当地分支机构查勘；并派专人全程协助被保险单位就近办理相关的理赔等手续</w:t>
      </w:r>
      <w:bookmarkStart w:id="82" w:name="_Toc462750695"/>
      <w:bookmarkStart w:id="83" w:name="_Toc26812968"/>
      <w:bookmarkStart w:id="84" w:name="_Toc42086314"/>
      <w:bookmarkStart w:id="85" w:name="_Toc445365196"/>
      <w:bookmarkStart w:id="86" w:name="_Toc448478465"/>
      <w:bookmarkStart w:id="87" w:name="_Toc449087605"/>
      <w:bookmarkStart w:id="88" w:name="_Toc440308774"/>
      <w:bookmarkStart w:id="89" w:name="_Toc407357261"/>
      <w:r>
        <w:rPr>
          <w:rFonts w:hint="eastAsia" w:ascii="宋体" w:hAnsi="宋体"/>
          <w:color w:val="000000" w:themeColor="text1"/>
          <w:szCs w:val="21"/>
          <w14:textFill>
            <w14:solidFill>
              <w14:schemeClr w14:val="tx1"/>
            </w14:solidFill>
          </w14:textFill>
        </w:rPr>
        <w:t>。</w:t>
      </w:r>
    </w:p>
    <w:p w14:paraId="39771A9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如乙方无法按照约定时间到达事故现场，将以被保险人提供的现场照片、损失清单、事故说明、修理发票及其他证明材料作为赔付理算依据。查勘人员当时无法拍照的，被保险人可自行进行现场拍照。</w:t>
      </w:r>
    </w:p>
    <w:p w14:paraId="108E074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（三）定损</w:t>
      </w:r>
      <w:bookmarkEnd w:id="82"/>
      <w:bookmarkEnd w:id="83"/>
      <w:bookmarkEnd w:id="84"/>
      <w:bookmarkEnd w:id="85"/>
      <w:bookmarkEnd w:id="86"/>
      <w:bookmarkEnd w:id="87"/>
      <w:bookmarkEnd w:id="88"/>
      <w:bookmarkEnd w:id="89"/>
    </w:p>
    <w:p w14:paraId="4D6A02B1">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准确、合理赔付的服务宗旨，在定损过程中根据损失的具体情况及市场信息，快速及时提出合理的定损方案，并与客户协商达成共识。</w:t>
      </w:r>
    </w:p>
    <w:p w14:paraId="06A0D01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1、施救费用的确定原则：依据出险地物价局确定的标准执行（免费救援项目除外）。</w:t>
      </w:r>
    </w:p>
    <w:p w14:paraId="072D47D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2、修理厂家的确定原则：</w:t>
      </w:r>
    </w:p>
    <w:p w14:paraId="6B565E2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车辆出险后，被保险人可以选择中标单位提供的合作修理厂（含4S店），也可自选资质合格的修理厂（含4S店）修理受损车辆。出险单位选择在自选修理厂（含4S店）进行车辆修理，根据被保险人的要求，中标单位将积极与自选修理厂（含4S店）进行价格商谈，并以最终商定的价格作为定损依据。</w:t>
      </w:r>
    </w:p>
    <w:p w14:paraId="4E33E2AE">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②受损车辆的维修按修复为主原则，但涉及车辆行车安全的关键零部件受损（如：刹车系统、转向系统），中标单位同意予以更换。</w:t>
      </w:r>
    </w:p>
    <w:p w14:paraId="53F05D2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换件的依据及材料质量</w:t>
      </w:r>
    </w:p>
    <w:p w14:paraId="3C57705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配件的损坏程度作为更换标准，以修复为主。不能修复或修复后不能达到产品设计标准的配件则必须更换同品牌车辆配件。换件质量由配件采购方予以质量保证，确保其正常使用并按国家法律法规给予相关质量保证。确保车辆安全使用并能达到安全行驶的状态。</w:t>
      </w:r>
    </w:p>
    <w:p w14:paraId="3A1F4BCC">
      <w:pPr>
        <w:spacing w:line="460" w:lineRule="exact"/>
        <w:ind w:firstLine="420" w:firstLineChars="200"/>
        <w:rPr>
          <w:rFonts w:ascii="宋体" w:hAnsi="宋体"/>
          <w:color w:val="000000" w:themeColor="text1"/>
          <w:szCs w:val="21"/>
          <w14:textFill>
            <w14:solidFill>
              <w14:schemeClr w14:val="tx1"/>
            </w14:solidFill>
          </w14:textFill>
        </w:rPr>
      </w:pPr>
      <w:bookmarkStart w:id="90" w:name="_Toc42086315"/>
      <w:bookmarkStart w:id="91" w:name="_Toc462750696"/>
      <w:bookmarkStart w:id="92" w:name="_Toc37244524"/>
      <w:bookmarkStart w:id="93" w:name="_Toc26812969"/>
      <w:r>
        <w:rPr>
          <w:rFonts w:hint="eastAsia" w:ascii="宋体" w:hAnsi="宋体"/>
          <w:color w:val="000000" w:themeColor="text1"/>
          <w:szCs w:val="21"/>
          <w14:textFill>
            <w14:solidFill>
              <w14:schemeClr w14:val="tx1"/>
            </w14:solidFill>
          </w14:textFill>
        </w:rPr>
        <w:t>（四）</w:t>
      </w:r>
      <w:bookmarkEnd w:id="90"/>
      <w:bookmarkEnd w:id="91"/>
      <w:bookmarkEnd w:id="92"/>
      <w:bookmarkEnd w:id="93"/>
      <w:r>
        <w:rPr>
          <w:rFonts w:hint="eastAsia" w:ascii="宋体" w:hAnsi="宋体"/>
          <w:color w:val="000000" w:themeColor="text1"/>
          <w:szCs w:val="21"/>
          <w14:textFill>
            <w14:solidFill>
              <w14:schemeClr w14:val="tx1"/>
            </w14:solidFill>
          </w14:textFill>
        </w:rPr>
        <w:t>理赔及事故处理</w:t>
      </w:r>
    </w:p>
    <w:p w14:paraId="24177836">
      <w:pPr>
        <w:spacing w:line="460" w:lineRule="exact"/>
        <w:ind w:firstLine="420" w:firstLineChars="200"/>
        <w:rPr>
          <w:rFonts w:ascii="宋体" w:hAnsi="宋体"/>
          <w:color w:val="000000" w:themeColor="text1"/>
          <w:szCs w:val="21"/>
          <w14:textFill>
            <w14:solidFill>
              <w14:schemeClr w14:val="tx1"/>
            </w14:solidFill>
          </w14:textFill>
        </w:rPr>
      </w:pPr>
      <w:bookmarkStart w:id="94" w:name="_Toc340927745"/>
      <w:bookmarkStart w:id="95" w:name="_Toc448478467"/>
      <w:bookmarkStart w:id="96" w:name="_Toc440308776"/>
      <w:bookmarkStart w:id="97" w:name="_Toc407357263"/>
      <w:bookmarkStart w:id="98" w:name="_Toc340930807"/>
      <w:bookmarkStart w:id="99" w:name="_Toc449087607"/>
      <w:bookmarkStart w:id="100" w:name="_Toc462750697"/>
      <w:bookmarkStart w:id="101" w:name="_Toc445365198"/>
      <w:r>
        <w:rPr>
          <w:rFonts w:hint="eastAsia" w:ascii="宋体" w:hAnsi="宋体"/>
          <w:color w:val="000000" w:themeColor="text1"/>
          <w:szCs w:val="21"/>
          <w14:textFill>
            <w14:solidFill>
              <w14:schemeClr w14:val="tx1"/>
            </w14:solidFill>
          </w14:textFill>
        </w:rPr>
        <w:t>1、一般应选择4S店或采购人指定的公务车辆定点维修企业。</w:t>
      </w:r>
    </w:p>
    <w:p w14:paraId="62B65F92">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2、受损车辆的维修按修复为主原则，但涉及车辆行车安全的关键零部件受损（如：刹车系统、转向系统），应予以更换。</w:t>
      </w:r>
    </w:p>
    <w:p w14:paraId="5542F3A5">
      <w:pPr>
        <w:spacing w:line="460" w:lineRule="exact"/>
        <w:ind w:firstLine="420" w:firstLineChars="200"/>
        <w:rPr>
          <w:rFonts w:ascii="宋体" w:hAnsi="宋体"/>
          <w:color w:val="000000" w:themeColor="text1"/>
          <w:szCs w:val="21"/>
          <w14:textFill>
            <w14:solidFill>
              <w14:schemeClr w14:val="tx1"/>
            </w14:solidFill>
          </w14:textFill>
        </w:rPr>
      </w:pPr>
      <w:bookmarkStart w:id="102" w:name="_Toc37244525"/>
      <w:bookmarkStart w:id="103" w:name="_Toc42086316"/>
      <w:bookmarkStart w:id="104" w:name="_Toc26812970"/>
      <w:r>
        <w:rPr>
          <w:rFonts w:hint="eastAsia" w:ascii="宋体" w:hAnsi="宋体"/>
          <w:color w:val="000000" w:themeColor="text1"/>
          <w:szCs w:val="21"/>
          <w14:textFill>
            <w14:solidFill>
              <w14:schemeClr w14:val="tx1"/>
            </w14:solidFill>
          </w14:textFill>
        </w:rPr>
        <w:t>3、第三者责任事故处理</w:t>
      </w:r>
      <w:bookmarkEnd w:id="102"/>
      <w:bookmarkEnd w:id="103"/>
      <w:bookmarkEnd w:id="104"/>
      <w:r>
        <w:rPr>
          <w:rFonts w:hint="eastAsia" w:ascii="宋体" w:hAnsi="宋体"/>
          <w:color w:val="000000" w:themeColor="text1"/>
          <w:szCs w:val="21"/>
          <w14:textFill>
            <w14:solidFill>
              <w14:schemeClr w14:val="tx1"/>
            </w14:solidFill>
          </w14:textFill>
        </w:rPr>
        <w:t>：涉及第三者责任事故的，遵循先交强险后商业险的赔付原则。</w:t>
      </w:r>
    </w:p>
    <w:p w14:paraId="6E3CBF97">
      <w:pPr>
        <w:spacing w:line="460" w:lineRule="exact"/>
        <w:ind w:firstLine="420" w:firstLineChars="200"/>
        <w:rPr>
          <w:rFonts w:ascii="宋体" w:hAnsi="宋体"/>
          <w:color w:val="000000" w:themeColor="text1"/>
          <w:szCs w:val="21"/>
          <w14:textFill>
            <w14:solidFill>
              <w14:schemeClr w14:val="tx1"/>
            </w14:solidFill>
          </w14:textFill>
        </w:rPr>
      </w:pPr>
      <w:bookmarkStart w:id="105" w:name="_Toc37244526"/>
      <w:bookmarkStart w:id="106" w:name="_Toc26812971"/>
      <w:bookmarkStart w:id="107" w:name="_Toc42086318"/>
      <w:r>
        <w:rPr>
          <w:rFonts w:hint="eastAsia" w:ascii="宋体" w:hAnsi="宋体"/>
          <w:color w:val="000000" w:themeColor="text1"/>
          <w:szCs w:val="21"/>
          <w14:textFill>
            <w14:solidFill>
              <w14:schemeClr w14:val="tx1"/>
            </w14:solidFill>
          </w14:textFill>
        </w:rPr>
        <w:t>4、提交索赔材料</w:t>
      </w:r>
      <w:bookmarkEnd w:id="94"/>
      <w:bookmarkEnd w:id="95"/>
      <w:bookmarkEnd w:id="96"/>
      <w:bookmarkEnd w:id="97"/>
      <w:bookmarkEnd w:id="98"/>
      <w:bookmarkEnd w:id="99"/>
      <w:bookmarkEnd w:id="100"/>
      <w:bookmarkEnd w:id="101"/>
      <w:bookmarkEnd w:id="105"/>
      <w:bookmarkEnd w:id="106"/>
      <w:bookmarkEnd w:id="107"/>
      <w:r>
        <w:rPr>
          <w:rFonts w:hint="eastAsia" w:ascii="宋体" w:hAnsi="宋体"/>
          <w:color w:val="000000" w:themeColor="text1"/>
          <w:szCs w:val="21"/>
          <w14:textFill>
            <w14:solidFill>
              <w14:schemeClr w14:val="tx1"/>
            </w14:solidFill>
          </w14:textFill>
        </w:rPr>
        <w:t>：发生保险事故后，被保险人向乙方提交相应的索赔材料。由于特殊原因无法提供上述部分索赔单证的，投保人应出具合理的书面证明或说明，供应商应予以认可。</w:t>
      </w:r>
    </w:p>
    <w:p w14:paraId="32DC714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在接到上述材料后应立即审验核实，若认为有关证明或材料不完整，将立刻以书面方式一次性告知应补充提供的有关证明或材料。若在接到索赔资料后1个工作日内（特殊情况下不超过3个工作日）未给予有关审核意见，则视为认可索赔资料的完整性。</w:t>
      </w:r>
    </w:p>
    <w:p w14:paraId="216A6597">
      <w:pPr>
        <w:spacing w:line="460" w:lineRule="exact"/>
        <w:ind w:firstLine="420" w:firstLineChars="200"/>
        <w:rPr>
          <w:rFonts w:ascii="宋体" w:hAnsi="宋体"/>
          <w:color w:val="000000" w:themeColor="text1"/>
          <w:szCs w:val="21"/>
          <w14:textFill>
            <w14:solidFill>
              <w14:schemeClr w14:val="tx1"/>
            </w14:solidFill>
          </w14:textFill>
        </w:rPr>
      </w:pPr>
      <w:bookmarkStart w:id="108" w:name="_Toc42086319"/>
      <w:bookmarkStart w:id="109" w:name="_Toc37244527"/>
      <w:bookmarkStart w:id="110" w:name="_Toc26812972"/>
      <w:r>
        <w:rPr>
          <w:rFonts w:hint="eastAsia" w:ascii="宋体" w:hAnsi="宋体"/>
          <w:color w:val="000000" w:themeColor="text1"/>
          <w:szCs w:val="21"/>
          <w14:textFill>
            <w14:solidFill>
              <w14:schemeClr w14:val="tx1"/>
            </w14:solidFill>
          </w14:textFill>
        </w:rPr>
        <w:t>（五）赔款时限</w:t>
      </w:r>
      <w:bookmarkEnd w:id="108"/>
      <w:bookmarkEnd w:id="109"/>
      <w:bookmarkEnd w:id="110"/>
    </w:p>
    <w:p w14:paraId="0B12A7FF">
      <w:pPr>
        <w:spacing w:line="46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在被保险人提供必要的索赔材料后，乙方应及时确定赔偿金额，并在承诺时限前向被保险人支付赔款。</w:t>
      </w:r>
    </w:p>
    <w:p w14:paraId="4711661F">
      <w:pPr>
        <w:spacing w:line="460" w:lineRule="exact"/>
        <w:ind w:firstLine="420" w:firstLineChars="200"/>
        <w:rPr>
          <w:rFonts w:ascii="宋体" w:hAnsi="宋体"/>
          <w:color w:val="000000" w:themeColor="text1"/>
          <w:szCs w:val="21"/>
          <w14:textFill>
            <w14:solidFill>
              <w14:schemeClr w14:val="tx1"/>
            </w14:solidFill>
          </w14:textFill>
        </w:rPr>
      </w:pPr>
      <w:bookmarkStart w:id="111" w:name="_Toc37244528"/>
      <w:bookmarkStart w:id="112" w:name="_Toc26812973"/>
      <w:bookmarkStart w:id="113" w:name="_Toc42086320"/>
      <w:r>
        <w:rPr>
          <w:rFonts w:hint="eastAsia" w:ascii="宋体" w:hAnsi="宋体"/>
          <w:color w:val="000000" w:themeColor="text1"/>
          <w:szCs w:val="21"/>
          <w14:textFill>
            <w14:solidFill>
              <w14:schemeClr w14:val="tx1"/>
            </w14:solidFill>
          </w14:textFill>
        </w:rPr>
        <w:t>（六）预付赔款</w:t>
      </w:r>
      <w:bookmarkEnd w:id="111"/>
      <w:bookmarkEnd w:id="112"/>
      <w:bookmarkEnd w:id="113"/>
    </w:p>
    <w:p w14:paraId="7E1BAC9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在以下情况下，根据被保险人书面申请，可提供预付赔款服务：</w:t>
      </w:r>
    </w:p>
    <w:p w14:paraId="04D73235">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发生交通事故出现人员伤亡时，在明确了事故责任属于保险责任后，乙方在接到被保险人书面申请后1个工作日内，根据被保险人提供的符合要求的必要的索赔材料，按估损金额的60%先行赔付。被保险人应继续配合收集整理完整的索赔单证，在双方就最终赔偿金额达成一致后，对最终赔款金额与预付赔款金额的差额部分进行结算。</w:t>
      </w:r>
    </w:p>
    <w:p w14:paraId="1A0F113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发生重大事故快速预赔，对于重、特大事故，责任明确，超过最高分项保险限额的，可满保额预先赔付。</w:t>
      </w:r>
    </w:p>
    <w:p w14:paraId="3913120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机动车发生交通事故，造成受害人受伤需要抢救的，保险人在接到公安机关交通管理部门的书面通知和医疗机构出具的抢救费用清单后，属保险责任的，按照国务院卫生主管部门组织制定的交通事故人员创伤临床诊疗指南和国家基本医疗保险标准进行核实。对于符合规定的抢救费用，保险人在交强险医疗费用赔偿限额内垫付。被保险人在交通事故中无责任的，保险人在交强险无责任医疗费用赔偿限额内垫付。</w:t>
      </w:r>
    </w:p>
    <w:p w14:paraId="7943A52F">
      <w:pPr>
        <w:spacing w:line="460" w:lineRule="exact"/>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合同生效</w:t>
      </w:r>
    </w:p>
    <w:p w14:paraId="0446F36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1、合同应在双方法定代表人签字或单位加盖公章后生效。</w:t>
      </w:r>
    </w:p>
    <w:p w14:paraId="279964B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2、本合同一式三份，采购人一份</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供应商一份、代理机构一份。</w:t>
      </w:r>
    </w:p>
    <w:p w14:paraId="07E69D74">
      <w:pPr>
        <w:spacing w:line="460" w:lineRule="exact"/>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第十二条、</w:t>
      </w: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在合同有效期限内，如遇国家相关政策调整或其他原因，导致本合同需要调整的，经甲乙双方协商一致，可以进行调整，调整后的内容与本合同具有同等法律效力。                                                                                                                                        </w:t>
      </w:r>
    </w:p>
    <w:p w14:paraId="4DCA90F4">
      <w:pPr>
        <w:spacing w:line="4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0437BB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采购人：                              供应商：  </w:t>
      </w:r>
    </w:p>
    <w:p w14:paraId="1DFF5CD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名  称：（盖章）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名  称：（盖章）              </w:t>
      </w:r>
    </w:p>
    <w:p w14:paraId="2383E0C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法定代表人（或委托代理人）：           法定代表人（或委托代理人）：                             </w:t>
      </w:r>
    </w:p>
    <w:p w14:paraId="0E99018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    址：                            地    址： </w:t>
      </w:r>
    </w:p>
    <w:p w14:paraId="0CBEB2A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邮政编码：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邮政编码：         </w:t>
      </w:r>
    </w:p>
    <w:p w14:paraId="4F87F26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电    话：    </w:t>
      </w:r>
    </w:p>
    <w:p w14:paraId="23DCF49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    期：</w:t>
      </w:r>
    </w:p>
    <w:p w14:paraId="76216EB3">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EA61A9E">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六</w:t>
      </w:r>
      <w:r>
        <w:rPr>
          <w:rFonts w:hint="eastAsia" w:ascii="宋体"/>
          <w:b/>
          <w:color w:val="000000" w:themeColor="text1"/>
          <w:sz w:val="32"/>
          <w:szCs w:val="32"/>
          <w:highlight w:val="none"/>
          <w14:textFill>
            <w14:solidFill>
              <w14:schemeClr w14:val="tx1"/>
            </w14:solidFill>
          </w14:textFill>
        </w:rPr>
        <w:t>章  投标文件格式</w:t>
      </w:r>
    </w:p>
    <w:p w14:paraId="46DAF9D9">
      <w:pPr>
        <w:jc w:val="center"/>
        <w:rPr>
          <w:rFonts w:hint="eastAsia" w:eastAsia="黑体"/>
          <w:color w:val="000000" w:themeColor="text1"/>
          <w:sz w:val="20"/>
          <w:highlight w:val="none"/>
          <w14:textFill>
            <w14:solidFill>
              <w14:schemeClr w14:val="tx1"/>
            </w14:solidFill>
          </w14:textFill>
        </w:rPr>
      </w:pPr>
    </w:p>
    <w:p w14:paraId="5280E730">
      <w:pPr>
        <w:rPr>
          <w:rFonts w:hint="eastAsia" w:eastAsia="黑体"/>
          <w:color w:val="000000" w:themeColor="text1"/>
          <w:sz w:val="20"/>
          <w:highlight w:val="none"/>
          <w14:textFill>
            <w14:solidFill>
              <w14:schemeClr w14:val="tx1"/>
            </w14:solidFill>
          </w14:textFill>
        </w:rPr>
      </w:pPr>
    </w:p>
    <w:p w14:paraId="5DB30896">
      <w:pPr>
        <w:pStyle w:val="18"/>
        <w:rPr>
          <w:rFonts w:hint="eastAsia"/>
          <w:color w:val="000000" w:themeColor="text1"/>
          <w14:textFill>
            <w14:solidFill>
              <w14:schemeClr w14:val="tx1"/>
            </w14:solidFill>
          </w14:textFill>
        </w:rPr>
      </w:pPr>
    </w:p>
    <w:p w14:paraId="7F434800">
      <w:pPr>
        <w:rPr>
          <w:rFonts w:hint="eastAsia" w:eastAsia="黑体"/>
          <w:color w:val="000000" w:themeColor="text1"/>
          <w:sz w:val="20"/>
          <w:highlight w:val="none"/>
          <w14:textFill>
            <w14:solidFill>
              <w14:schemeClr w14:val="tx1"/>
            </w14:solidFill>
          </w14:textFill>
        </w:rPr>
      </w:pPr>
    </w:p>
    <w:p w14:paraId="18851856">
      <w:pPr>
        <w:rPr>
          <w:rFonts w:hint="eastAsia" w:eastAsia="黑体"/>
          <w:color w:val="000000" w:themeColor="text1"/>
          <w:sz w:val="20"/>
          <w:highlight w:val="none"/>
          <w14:textFill>
            <w14:solidFill>
              <w14:schemeClr w14:val="tx1"/>
            </w14:solidFill>
          </w14:textFill>
        </w:rPr>
      </w:pPr>
    </w:p>
    <w:p w14:paraId="33892C26">
      <w:pPr>
        <w:jc w:val="center"/>
        <w:rPr>
          <w:rFonts w:hint="eastAsia" w:ascii="宋体"/>
          <w:b/>
          <w:color w:val="000000" w:themeColor="text1"/>
          <w:sz w:val="44"/>
          <w:szCs w:val="44"/>
          <w:highlight w:val="none"/>
          <w14:textFill>
            <w14:solidFill>
              <w14:schemeClr w14:val="tx1"/>
            </w14:solidFill>
          </w14:textFill>
        </w:rPr>
      </w:pPr>
      <w:bookmarkStart w:id="114" w:name="_Toc449028949"/>
      <w:bookmarkStart w:id="115" w:name="_Toc350698753"/>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14"/>
      <w:bookmarkEnd w:id="115"/>
    </w:p>
    <w:p w14:paraId="6FA5C2FA">
      <w:pPr>
        <w:jc w:val="center"/>
        <w:rPr>
          <w:rFonts w:hint="eastAsia" w:eastAsia="黑体"/>
          <w:color w:val="000000" w:themeColor="text1"/>
          <w:sz w:val="44"/>
          <w:szCs w:val="44"/>
          <w:highlight w:val="none"/>
          <w14:textFill>
            <w14:solidFill>
              <w14:schemeClr w14:val="tx1"/>
            </w14:solidFill>
          </w14:textFill>
        </w:rPr>
      </w:pPr>
    </w:p>
    <w:p w14:paraId="4807EC95">
      <w:pPr>
        <w:jc w:val="center"/>
        <w:rPr>
          <w:rFonts w:hint="eastAsia" w:eastAsia="黑体"/>
          <w:color w:val="000000" w:themeColor="text1"/>
          <w:sz w:val="44"/>
          <w:szCs w:val="44"/>
          <w:highlight w:val="none"/>
          <w14:textFill>
            <w14:solidFill>
              <w14:schemeClr w14:val="tx1"/>
            </w14:solidFill>
          </w14:textFill>
        </w:rPr>
      </w:pPr>
    </w:p>
    <w:p w14:paraId="23D02325">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60D76DB0">
      <w:pPr>
        <w:jc w:val="center"/>
        <w:rPr>
          <w:rFonts w:hint="eastAsia" w:ascii="宋体"/>
          <w:color w:val="000000" w:themeColor="text1"/>
          <w:sz w:val="44"/>
          <w:szCs w:val="44"/>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 xml:space="preserve">  </w:t>
      </w:r>
    </w:p>
    <w:p w14:paraId="58426A73">
      <w:pPr>
        <w:rPr>
          <w:rFonts w:hint="eastAsia" w:ascii="宋体"/>
          <w:color w:val="000000" w:themeColor="text1"/>
          <w:sz w:val="28"/>
          <w:szCs w:val="28"/>
          <w:highlight w:val="none"/>
          <w14:textFill>
            <w14:solidFill>
              <w14:schemeClr w14:val="tx1"/>
            </w14:solidFill>
          </w14:textFill>
        </w:rPr>
      </w:pPr>
    </w:p>
    <w:p w14:paraId="7FC0D103">
      <w:pPr>
        <w:pStyle w:val="18"/>
        <w:ind w:left="0" w:leftChars="0" w:firstLine="0" w:firstLineChars="0"/>
        <w:rPr>
          <w:rFonts w:hint="eastAsia" w:ascii="宋体"/>
          <w:color w:val="000000" w:themeColor="text1"/>
          <w:sz w:val="28"/>
          <w:szCs w:val="28"/>
          <w:highlight w:val="none"/>
          <w14:textFill>
            <w14:solidFill>
              <w14:schemeClr w14:val="tx1"/>
            </w14:solidFill>
          </w14:textFill>
        </w:rPr>
      </w:pPr>
    </w:p>
    <w:p w14:paraId="390CB8DA">
      <w:pPr>
        <w:rPr>
          <w:rFonts w:hint="eastAsia" w:ascii="宋体"/>
          <w:color w:val="000000" w:themeColor="text1"/>
          <w:sz w:val="28"/>
          <w:szCs w:val="28"/>
          <w:highlight w:val="none"/>
          <w14:textFill>
            <w14:solidFill>
              <w14:schemeClr w14:val="tx1"/>
            </w14:solidFill>
          </w14:textFill>
        </w:rPr>
      </w:pPr>
    </w:p>
    <w:p w14:paraId="029209F4">
      <w:pPr>
        <w:rPr>
          <w:rFonts w:hint="eastAsia" w:ascii="宋体"/>
          <w:color w:val="000000" w:themeColor="text1"/>
          <w:sz w:val="28"/>
          <w:szCs w:val="28"/>
          <w:highlight w:val="none"/>
          <w14:textFill>
            <w14:solidFill>
              <w14:schemeClr w14:val="tx1"/>
            </w14:solidFill>
          </w14:textFill>
        </w:rPr>
      </w:pPr>
    </w:p>
    <w:p w14:paraId="0AE0B28A">
      <w:pPr>
        <w:rPr>
          <w:rFonts w:hint="eastAsia" w:ascii="宋体"/>
          <w:color w:val="000000" w:themeColor="text1"/>
          <w:sz w:val="28"/>
          <w:szCs w:val="28"/>
          <w:highlight w:val="none"/>
          <w14:textFill>
            <w14:solidFill>
              <w14:schemeClr w14:val="tx1"/>
            </w14:solidFill>
          </w14:textFill>
        </w:rPr>
      </w:pPr>
    </w:p>
    <w:p w14:paraId="35056370">
      <w:pPr>
        <w:rPr>
          <w:rFonts w:hint="eastAsia" w:ascii="宋体"/>
          <w:color w:val="000000" w:themeColor="text1"/>
          <w:sz w:val="28"/>
          <w:szCs w:val="28"/>
          <w:highlight w:val="none"/>
          <w14:textFill>
            <w14:solidFill>
              <w14:schemeClr w14:val="tx1"/>
            </w14:solidFill>
          </w14:textFill>
        </w:rPr>
      </w:pPr>
    </w:p>
    <w:p w14:paraId="58E98CC0">
      <w:pPr>
        <w:rPr>
          <w:rFonts w:hint="eastAsia" w:ascii="宋体"/>
          <w:color w:val="000000" w:themeColor="text1"/>
          <w:sz w:val="28"/>
          <w:szCs w:val="28"/>
          <w:highlight w:val="none"/>
          <w14:textFill>
            <w14:solidFill>
              <w14:schemeClr w14:val="tx1"/>
            </w14:solidFill>
          </w14:textFill>
        </w:rPr>
      </w:pPr>
    </w:p>
    <w:p w14:paraId="4904BFC7">
      <w:pPr>
        <w:rPr>
          <w:rFonts w:hint="eastAsia" w:ascii="宋体"/>
          <w:color w:val="000000" w:themeColor="text1"/>
          <w:sz w:val="28"/>
          <w:szCs w:val="28"/>
          <w:highlight w:val="none"/>
          <w14:textFill>
            <w14:solidFill>
              <w14:schemeClr w14:val="tx1"/>
            </w14:solidFill>
          </w14:textFill>
        </w:rPr>
      </w:pPr>
    </w:p>
    <w:p w14:paraId="06EA1CE6">
      <w:pPr>
        <w:jc w:val="center"/>
        <w:rPr>
          <w:rFonts w:hint="eastAsia"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（盖单位章）</w:t>
      </w:r>
    </w:p>
    <w:p w14:paraId="30D36895">
      <w:pPr>
        <w:ind w:firstLine="560" w:firstLineChars="200"/>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签字或盖章</w:t>
      </w:r>
      <w:r>
        <w:rPr>
          <w:rFonts w:hint="eastAsia" w:ascii="宋体"/>
          <w:color w:val="000000" w:themeColor="text1"/>
          <w:sz w:val="28"/>
          <w:szCs w:val="28"/>
          <w:highlight w:val="none"/>
          <w14:textFill>
            <w14:solidFill>
              <w14:schemeClr w14:val="tx1"/>
            </w14:solidFill>
          </w14:textFill>
        </w:rPr>
        <w:t>）</w:t>
      </w:r>
    </w:p>
    <w:p w14:paraId="57E1ABF3">
      <w:pPr>
        <w:jc w:val="center"/>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14:paraId="0D938487">
      <w:pPr>
        <w:spacing w:line="720" w:lineRule="auto"/>
        <w:jc w:val="center"/>
        <w:rPr>
          <w:rFonts w:hint="eastAsia" w:ascii="宋体"/>
          <w:b/>
          <w:color w:val="000000" w:themeColor="text1"/>
          <w:sz w:val="36"/>
          <w:szCs w:val="36"/>
          <w:highlight w:val="none"/>
          <w14:textFill>
            <w14:solidFill>
              <w14:schemeClr w14:val="tx1"/>
            </w14:solidFill>
          </w14:textFill>
        </w:rPr>
      </w:pPr>
    </w:p>
    <w:p w14:paraId="3FED1E3D">
      <w:pPr>
        <w:spacing w:line="400" w:lineRule="exact"/>
        <w:ind w:firstLine="4130" w:firstLineChars="935"/>
        <w:rPr>
          <w:rFonts w:hint="eastAsia"/>
          <w:b/>
          <w:color w:val="000000" w:themeColor="text1"/>
          <w:sz w:val="44"/>
          <w:szCs w:val="44"/>
          <w:highlight w:val="none"/>
          <w14:textFill>
            <w14:solidFill>
              <w14:schemeClr w14:val="tx1"/>
            </w14:solidFill>
          </w14:textFill>
        </w:rPr>
      </w:pPr>
    </w:p>
    <w:p w14:paraId="4FFAA9DB">
      <w:pPr>
        <w:spacing w:line="400" w:lineRule="exact"/>
        <w:ind w:firstLine="4130" w:firstLineChars="935"/>
        <w:rPr>
          <w:rFonts w:hint="eastAsia"/>
          <w:b/>
          <w:color w:val="000000" w:themeColor="text1"/>
          <w:sz w:val="44"/>
          <w:szCs w:val="44"/>
          <w:highlight w:val="none"/>
          <w14:textFill>
            <w14:solidFill>
              <w14:schemeClr w14:val="tx1"/>
            </w14:solidFill>
          </w14:textFill>
        </w:rPr>
      </w:pPr>
    </w:p>
    <w:p w14:paraId="7C2F551F">
      <w:pPr>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目   录</w:t>
      </w:r>
    </w:p>
    <w:p w14:paraId="0F833109">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13D5A713">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（1）法定代表人身份证明及其有效身份证复印件（或法定代表人授权委托书及其有效身份证复印件）（格式见附件）；  </w:t>
      </w:r>
    </w:p>
    <w:p w14:paraId="61481D13">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lang w:eastAsia="zh-CN"/>
          <w14:textFill>
            <w14:solidFill>
              <w14:schemeClr w14:val="tx1"/>
            </w14:solidFill>
          </w14:textFill>
        </w:rPr>
        <w:t>）诚信投标承诺书（格式见附件）；</w:t>
      </w:r>
      <w:r>
        <w:rPr>
          <w:rFonts w:hint="eastAsia" w:ascii="宋体"/>
          <w:color w:val="000000" w:themeColor="text1"/>
          <w:szCs w:val="21"/>
          <w:highlight w:val="none"/>
          <w14:textFill>
            <w14:solidFill>
              <w14:schemeClr w14:val="tx1"/>
            </w14:solidFill>
          </w14:textFill>
        </w:rPr>
        <w:t xml:space="preserve">                                                                                                                                                                                                                                                                                                                                                                                                                                                                                                                                                                                                                                                                                                                                                                                                                                                                                                                                                                                                                                                                                                                                                                                                                                                                                                                                                                                                                                                                                                                                                                                                                                                                                      </w:t>
      </w:r>
    </w:p>
    <w:p w14:paraId="2287EDBC">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lang w:val="en-US" w:eastAsia="zh-CN"/>
          <w14:textFill>
            <w14:solidFill>
              <w14:schemeClr w14:val="tx1"/>
            </w14:solidFill>
          </w14:textFill>
        </w:rPr>
        <w:t>有效的营业执照</w:t>
      </w:r>
      <w:r>
        <w:rPr>
          <w:rFonts w:hint="eastAsia" w:ascii="宋体"/>
          <w:color w:val="000000" w:themeColor="text1"/>
          <w:szCs w:val="21"/>
          <w:highlight w:val="none"/>
          <w14:textFill>
            <w14:solidFill>
              <w14:schemeClr w14:val="tx1"/>
            </w14:solidFill>
          </w14:textFill>
        </w:rPr>
        <w:t>；</w:t>
      </w:r>
    </w:p>
    <w:p w14:paraId="761F611A">
      <w:pPr>
        <w:spacing w:line="500" w:lineRule="exact"/>
        <w:ind w:firstLine="420" w:firstLineChars="200"/>
        <w:jc w:val="left"/>
        <w:rPr>
          <w:rFonts w:hint="eastAsia" w:ascii="宋体" w:hAnsi="宋体" w:cs="宋体-18030"/>
          <w:color w:val="000000" w:themeColor="text1"/>
          <w:szCs w:val="21"/>
          <w:highlight w:val="none"/>
          <w:lang w:val="en-US" w:eastAsia="zh-CN"/>
          <w14:textFill>
            <w14:solidFill>
              <w14:schemeClr w14:val="tx1"/>
            </w14:solidFill>
          </w14:textFill>
        </w:rPr>
      </w:pPr>
      <w:r>
        <w:rPr>
          <w:rFonts w:hint="eastAsia" w:ascii="宋体" w:hAnsi="宋体" w:cs="宋体-18030"/>
          <w:color w:val="000000" w:themeColor="text1"/>
          <w:szCs w:val="21"/>
          <w:highlight w:val="none"/>
          <w:lang w:eastAsia="zh-CN"/>
          <w14:textFill>
            <w14:solidFill>
              <w14:schemeClr w14:val="tx1"/>
            </w14:solidFill>
          </w14:textFill>
        </w:rPr>
        <w:t>（</w:t>
      </w:r>
      <w:r>
        <w:rPr>
          <w:rFonts w:hint="eastAsia" w:ascii="宋体" w:hAnsi="宋体" w:cs="宋体-18030"/>
          <w:color w:val="000000" w:themeColor="text1"/>
          <w:szCs w:val="21"/>
          <w:highlight w:val="none"/>
          <w:lang w:val="en-US" w:eastAsia="zh-CN"/>
          <w14:textFill>
            <w14:solidFill>
              <w14:schemeClr w14:val="tx1"/>
            </w14:solidFill>
          </w14:textFill>
        </w:rPr>
        <w:t>4）投标人有效的经营保险业务许可证；</w:t>
      </w:r>
    </w:p>
    <w:p w14:paraId="1FF40C24">
      <w:pPr>
        <w:spacing w:line="500" w:lineRule="exact"/>
        <w:ind w:firstLine="420" w:firstLineChars="200"/>
        <w:jc w:val="left"/>
        <w:rPr>
          <w:rFonts w:hint="default" w:ascii="宋体" w:hAnsi="宋体" w:cs="宋体-18030"/>
          <w:color w:val="000000" w:themeColor="text1"/>
          <w:szCs w:val="21"/>
          <w:highlight w:val="none"/>
          <w:lang w:val="en-US" w:eastAsia="zh-CN"/>
          <w14:textFill>
            <w14:solidFill>
              <w14:schemeClr w14:val="tx1"/>
            </w14:solidFill>
          </w14:textFill>
        </w:rPr>
      </w:pPr>
      <w:r>
        <w:rPr>
          <w:rFonts w:hint="eastAsia" w:ascii="宋体" w:hAnsi="宋体" w:cs="宋体-18030"/>
          <w:color w:val="000000" w:themeColor="text1"/>
          <w:szCs w:val="21"/>
          <w:highlight w:val="none"/>
          <w:lang w:val="en-US" w:eastAsia="zh-CN"/>
          <w14:textFill>
            <w14:solidFill>
              <w14:schemeClr w14:val="tx1"/>
            </w14:solidFill>
          </w14:textFill>
        </w:rPr>
        <w:t>（5）投标函（格式见附件）；</w:t>
      </w:r>
    </w:p>
    <w:p w14:paraId="1E4A1497">
      <w:pPr>
        <w:spacing w:line="500" w:lineRule="exact"/>
        <w:ind w:firstLine="420" w:firstLineChars="200"/>
        <w:jc w:val="left"/>
        <w:rPr>
          <w:rFonts w:hint="default" w:ascii="宋体" w:hAnsi="Times New Roman" w:eastAsia="宋体" w:cs="Times New Roman"/>
          <w:color w:val="000000" w:themeColor="text1"/>
          <w:szCs w:val="21"/>
          <w:highlight w:val="none"/>
          <w:lang w:val="en-US" w:eastAsia="zh-CN"/>
          <w14:textFill>
            <w14:solidFill>
              <w14:schemeClr w14:val="tx1"/>
            </w14:solidFill>
          </w14:textFill>
        </w:rPr>
      </w:pPr>
      <w:r>
        <w:rPr>
          <w:rFonts w:hint="eastAsia" w:ascii="宋体" w:cs="Times New Roman"/>
          <w:color w:val="000000" w:themeColor="text1"/>
          <w:szCs w:val="21"/>
          <w:highlight w:val="none"/>
          <w:lang w:eastAsia="zh-CN"/>
          <w14:textFill>
            <w14:solidFill>
              <w14:schemeClr w14:val="tx1"/>
            </w14:solidFill>
          </w14:textFill>
        </w:rPr>
        <w:t>（</w:t>
      </w:r>
      <w:r>
        <w:rPr>
          <w:rFonts w:hint="eastAsia" w:ascii="宋体" w:cs="Times New Roman"/>
          <w:color w:val="000000" w:themeColor="text1"/>
          <w:szCs w:val="21"/>
          <w:highlight w:val="none"/>
          <w:lang w:val="en-US" w:eastAsia="zh-CN"/>
          <w14:textFill>
            <w14:solidFill>
              <w14:schemeClr w14:val="tx1"/>
            </w14:solidFill>
          </w14:textFill>
        </w:rPr>
        <w:t>6）服务承诺书（格式见附件）；</w:t>
      </w:r>
    </w:p>
    <w:p w14:paraId="4F1EFD1C">
      <w:pPr>
        <w:spacing w:line="500" w:lineRule="exact"/>
        <w:ind w:firstLine="420" w:firstLineChars="200"/>
        <w:jc w:val="left"/>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cs="Times New Roman"/>
          <w:color w:val="000000" w:themeColor="text1"/>
          <w:szCs w:val="21"/>
          <w:highlight w:val="none"/>
          <w:lang w:val="en-US" w:eastAsia="zh-CN"/>
          <w14:textFill>
            <w14:solidFill>
              <w14:schemeClr w14:val="tx1"/>
            </w14:solidFill>
          </w14:textFill>
        </w:rPr>
        <w:t>7</w:t>
      </w:r>
      <w:r>
        <w:rPr>
          <w:rFonts w:hint="eastAsia" w:ascii="宋体" w:hAnsi="Times New Roman" w:eastAsia="宋体" w:cs="Times New Roman"/>
          <w:color w:val="000000" w:themeColor="text1"/>
          <w:szCs w:val="21"/>
          <w:highlight w:val="none"/>
          <w14:textFill>
            <w14:solidFill>
              <w14:schemeClr w14:val="tx1"/>
            </w14:solidFill>
          </w14:textFill>
        </w:rPr>
        <w:t>）招标文件中要求的</w:t>
      </w:r>
      <w:r>
        <w:rPr>
          <w:rFonts w:hint="eastAsia" w:ascii="宋体" w:cs="Times New Roman"/>
          <w:color w:val="000000" w:themeColor="text1"/>
          <w:szCs w:val="21"/>
          <w:highlight w:val="none"/>
          <w:lang w:val="en-US" w:eastAsia="zh-CN"/>
          <w14:textFill>
            <w14:solidFill>
              <w14:schemeClr w14:val="tx1"/>
            </w14:solidFill>
          </w14:textFill>
        </w:rPr>
        <w:t>其他</w:t>
      </w:r>
      <w:r>
        <w:rPr>
          <w:rFonts w:hint="eastAsia" w:ascii="宋体" w:hAnsi="Times New Roman" w:eastAsia="宋体" w:cs="Times New Roman"/>
          <w:color w:val="000000" w:themeColor="text1"/>
          <w:szCs w:val="21"/>
          <w:highlight w:val="none"/>
          <w14:textFill>
            <w14:solidFill>
              <w14:schemeClr w14:val="tx1"/>
            </w14:solidFill>
          </w14:textFill>
        </w:rPr>
        <w:t>评审和评分的支持资料</w:t>
      </w:r>
      <w:r>
        <w:rPr>
          <w:rFonts w:hint="eastAsia" w:ascii="宋体" w:cs="Times New Roman"/>
          <w:color w:val="000000" w:themeColor="text1"/>
          <w:szCs w:val="21"/>
          <w:highlight w:val="none"/>
          <w:lang w:eastAsia="zh-CN"/>
          <w14:textFill>
            <w14:solidFill>
              <w14:schemeClr w14:val="tx1"/>
            </w14:solidFill>
          </w14:textFill>
        </w:rPr>
        <w:t>。</w:t>
      </w:r>
    </w:p>
    <w:p w14:paraId="6B693F28">
      <w:pPr>
        <w:spacing w:line="500" w:lineRule="exact"/>
        <w:ind w:firstLine="420" w:firstLineChars="200"/>
        <w:jc w:val="left"/>
        <w:rPr>
          <w:rFonts w:hint="eastAsia" w:ascii="宋体" w:hAnsi="Times New Roman" w:eastAsia="宋体" w:cs="Times New Roman"/>
          <w:color w:val="000000" w:themeColor="text1"/>
          <w:szCs w:val="21"/>
          <w:highlight w:val="none"/>
          <w14:textFill>
            <w14:solidFill>
              <w14:schemeClr w14:val="tx1"/>
            </w14:solidFill>
          </w14:textFill>
        </w:rPr>
      </w:pPr>
    </w:p>
    <w:p w14:paraId="27527F4D">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21E9B25">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51EB215">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A3B3510">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389FB3C2">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37C5111F">
      <w:pPr>
        <w:spacing w:line="400" w:lineRule="exact"/>
        <w:rPr>
          <w:b/>
          <w:color w:val="000000" w:themeColor="text1"/>
          <w:sz w:val="28"/>
          <w:szCs w:val="28"/>
          <w:highlight w:val="none"/>
          <w14:textFill>
            <w14:solidFill>
              <w14:schemeClr w14:val="tx1"/>
            </w14:solidFill>
          </w14:textFill>
        </w:rPr>
        <w:sectPr>
          <w:headerReference r:id="rId9" w:type="default"/>
          <w:footerReference r:id="rId10" w:type="default"/>
          <w:pgSz w:w="11906" w:h="16838"/>
          <w:pgMar w:top="1440" w:right="1066" w:bottom="1440" w:left="1800" w:header="851" w:footer="992" w:gutter="0"/>
          <w:pgNumType w:fmt="numberInDash"/>
          <w:cols w:space="720" w:num="1"/>
          <w:docGrid w:type="lines" w:linePitch="312" w:charSpace="0"/>
        </w:sectPr>
      </w:pPr>
    </w:p>
    <w:p w14:paraId="7A63AA04">
      <w:pPr>
        <w:spacing w:line="360" w:lineRule="auto"/>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附件1</w:t>
      </w:r>
    </w:p>
    <w:p w14:paraId="12C15BBB">
      <w:pPr>
        <w:spacing w:line="360" w:lineRule="auto"/>
        <w:ind w:left="720"/>
        <w:jc w:val="center"/>
        <w:rPr>
          <w:rFonts w:hint="eastAsia" w:ascii="宋体"/>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法定代表人身份证明或授权委托书</w:t>
      </w:r>
    </w:p>
    <w:p w14:paraId="5F9AA5F5">
      <w:pPr>
        <w:pStyle w:val="123"/>
        <w:spacing w:before="312" w:beforeLines="100" w:after="312" w:afterLines="100" w:line="480" w:lineRule="exact"/>
        <w:ind w:firstLine="180" w:firstLineChars="75"/>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1A928786">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2D212AF8">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CE710E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459BA3C">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23066736">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EF24644">
      <w:pPr>
        <w:spacing w:line="480" w:lineRule="exact"/>
        <w:ind w:firstLine="144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pacing w:val="240"/>
          <w:sz w:val="24"/>
          <w:highlight w:val="none"/>
          <w14:textFill>
            <w14:solidFill>
              <w14:schemeClr w14:val="tx1"/>
            </w14:solidFill>
          </w14:textFill>
        </w:rPr>
        <w:t>姓</w:t>
      </w:r>
      <w:r>
        <w:rPr>
          <w:rFonts w:hint="eastAsia" w:ascii="宋体"/>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_</w:t>
      </w:r>
    </w:p>
    <w:p w14:paraId="5DE2B0D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05AD4DEF">
      <w:pPr>
        <w:spacing w:line="480" w:lineRule="exact"/>
        <w:ind w:firstLine="960" w:firstLineChars="4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70C1DA">
      <w:pPr>
        <w:spacing w:line="360" w:lineRule="auto"/>
        <w:ind w:firstLine="3480" w:firstLineChars="14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（盖单位章）</w:t>
      </w:r>
    </w:p>
    <w:p w14:paraId="5C03CB32">
      <w:pPr>
        <w:wordWrap w:val="0"/>
        <w:spacing w:line="360" w:lineRule="auto"/>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3EBABC8B">
      <w:pPr>
        <w:spacing w:before="312" w:beforeLines="100" w:after="312" w:afterLines="100" w:line="480" w:lineRule="exact"/>
        <w:ind w:firstLine="3654" w:firstLineChars="1305"/>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61D7FE74">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”(项目名称、编号）投标文件，全权处理与该项目投标、评审答疑、签订合同以及与合同执行有关的一切事务，其法律后果由我方承担。</w:t>
      </w:r>
    </w:p>
    <w:p w14:paraId="19774F0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委托期限：                                </w:t>
      </w:r>
    </w:p>
    <w:p w14:paraId="03AA18CF">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代理人无转委托权。</w:t>
      </w:r>
    </w:p>
    <w:p w14:paraId="07B90ECC">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附：授权委托人有效身份证及法定代表人有效身份证</w:t>
      </w:r>
    </w:p>
    <w:p w14:paraId="7CC0099D">
      <w:pPr>
        <w:spacing w:line="48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投标人：             </w:t>
      </w:r>
      <w:r>
        <w:rPr>
          <w:rFonts w:hint="eastAsia" w:ascii="宋体"/>
          <w:color w:val="000000" w:themeColor="text1"/>
          <w:sz w:val="28"/>
          <w:szCs w:val="28"/>
          <w:highlight w:val="none"/>
          <w14:textFill>
            <w14:solidFill>
              <w14:schemeClr w14:val="tx1"/>
            </w14:solidFill>
          </w14:textFill>
        </w:rPr>
        <w:t>（盖单位章）</w:t>
      </w:r>
    </w:p>
    <w:p w14:paraId="387DE2CD">
      <w:pPr>
        <w:spacing w:line="480" w:lineRule="exact"/>
        <w:ind w:firstLine="2280" w:firstLineChars="9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法定代表人（身份证号码）：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签字或盖章</w:t>
      </w:r>
      <w:r>
        <w:rPr>
          <w:rFonts w:hint="eastAsia" w:ascii="宋体"/>
          <w:color w:val="000000" w:themeColor="text1"/>
          <w:sz w:val="28"/>
          <w:szCs w:val="28"/>
          <w:highlight w:val="none"/>
          <w14:textFill>
            <w14:solidFill>
              <w14:schemeClr w14:val="tx1"/>
            </w14:solidFill>
          </w14:textFill>
        </w:rPr>
        <w:t>）</w:t>
      </w:r>
    </w:p>
    <w:p w14:paraId="0E2C8016">
      <w:pPr>
        <w:spacing w:line="480" w:lineRule="exact"/>
        <w:ind w:firstLine="2820" w:firstLineChars="1175"/>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6B7A2607">
      <w:pPr>
        <w:spacing w:line="360" w:lineRule="exact"/>
        <w:ind w:firstLine="413" w:firstLineChars="147"/>
        <w:rPr>
          <w:rFonts w:hint="eastAsia"/>
          <w:b/>
          <w:color w:val="000000" w:themeColor="text1"/>
          <w:sz w:val="28"/>
          <w:szCs w:val="28"/>
          <w:highlight w:val="none"/>
          <w:u w:val="single"/>
          <w14:textFill>
            <w14:solidFill>
              <w14:schemeClr w14:val="tx1"/>
            </w14:solidFill>
          </w14:textFill>
        </w:rPr>
      </w:pPr>
    </w:p>
    <w:p w14:paraId="2495343D">
      <w:pPr>
        <w:spacing w:line="360" w:lineRule="exact"/>
        <w:ind w:firstLine="413" w:firstLineChars="147"/>
        <w:rPr>
          <w:rFonts w:hint="eastAsia"/>
          <w:b/>
          <w:color w:val="000000" w:themeColor="text1"/>
          <w:sz w:val="28"/>
          <w:szCs w:val="28"/>
          <w:highlight w:val="none"/>
          <w:u w:val="single"/>
          <w14:textFill>
            <w14:solidFill>
              <w14:schemeClr w14:val="tx1"/>
            </w14:solidFill>
          </w14:textFill>
        </w:rPr>
      </w:pPr>
    </w:p>
    <w:p w14:paraId="680B5FB5">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附件2</w:t>
      </w:r>
    </w:p>
    <w:p w14:paraId="590317EC">
      <w:pPr>
        <w:spacing w:line="360" w:lineRule="auto"/>
        <w:jc w:val="center"/>
        <w:rPr>
          <w:rFonts w:hint="eastAsia"/>
          <w:b/>
          <w:color w:val="000000" w:themeColor="text1"/>
          <w:sz w:val="28"/>
          <w:szCs w:val="28"/>
          <w:highlight w:val="none"/>
          <w14:textFill>
            <w14:solidFill>
              <w14:schemeClr w14:val="tx1"/>
            </w14:solidFill>
          </w14:textFill>
        </w:rPr>
      </w:pPr>
      <w:bookmarkStart w:id="116" w:name="_Toc440443268"/>
      <w:bookmarkStart w:id="117" w:name="_Toc449028950"/>
      <w:r>
        <w:rPr>
          <w:rFonts w:hint="eastAsia"/>
          <w:b/>
          <w:color w:val="000000" w:themeColor="text1"/>
          <w:sz w:val="28"/>
          <w:szCs w:val="28"/>
          <w:highlight w:val="none"/>
          <w14:textFill>
            <w14:solidFill>
              <w14:schemeClr w14:val="tx1"/>
            </w14:solidFill>
          </w14:textFill>
        </w:rPr>
        <w:t>诚信投标承诺书 </w:t>
      </w:r>
    </w:p>
    <w:p w14:paraId="6E79C1E4">
      <w:pPr>
        <w:spacing w:line="4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本人以企业法定代表人的身份郑重承诺：</w:t>
      </w:r>
    </w:p>
    <w:p w14:paraId="14EFB915">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         项目</w:t>
      </w:r>
      <w:r>
        <w:rPr>
          <w:rFonts w:hint="eastAsia" w:ascii="宋体" w:hAnsi="宋体" w:eastAsia="宋体" w:cs="宋体"/>
          <w:color w:val="000000" w:themeColor="text1"/>
          <w:sz w:val="24"/>
          <w:szCs w:val="24"/>
          <w:highlight w:val="none"/>
          <w14:textFill>
            <w14:solidFill>
              <w14:schemeClr w14:val="tx1"/>
            </w14:solidFill>
          </w14:textFill>
        </w:rPr>
        <w:t>的谈判，所提供的一切材料都是真实、有效、合法的；</w:t>
      </w:r>
    </w:p>
    <w:p w14:paraId="64894541">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、不出借、转让资质证书，不让他人挂靠，不以他人名义或者以其他方式弄虚作假，骗取成交；</w:t>
      </w:r>
    </w:p>
    <w:p w14:paraId="4E838B82">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、不与其他供应商相互串通响应报价，不排挤其他供应商的公平竞争、损害采购人的合法权益；</w:t>
      </w:r>
    </w:p>
    <w:p w14:paraId="437B2CCE">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、不与</w:t>
      </w:r>
      <w:r>
        <w:rPr>
          <w:rFonts w:hint="eastAsia" w:ascii="宋体"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、代理机构或其他供应商串通响应，损害国家利益、社会公共利益或者他人的合法权益；</w:t>
      </w:r>
    </w:p>
    <w:p w14:paraId="61024B49">
      <w:pPr>
        <w:spacing w:line="5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kern w:val="0"/>
          <w:sz w:val="24"/>
          <w:szCs w:val="24"/>
          <w:highlight w:val="none"/>
          <w:u w:val="single"/>
          <w:lang w:val="en-US" w:eastAsia="zh-CN" w:bidi="ar"/>
          <w14:textFill>
            <w14:solidFill>
              <w14:schemeClr w14:val="tx1"/>
            </w14:solidFill>
          </w14:textFill>
        </w:rPr>
        <w:t xml:space="preserve">       （企业名称）或       （企业名称）</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11B865DF">
      <w:pPr>
        <w:spacing w:line="5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、严格遵守谈判现场纪律，服从监管人员管理；</w:t>
      </w:r>
    </w:p>
    <w:p w14:paraId="44F0CD79">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、保证成交后不转包，若有分包征得采购人同意；</w:t>
      </w:r>
    </w:p>
    <w:p w14:paraId="51A0450A">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、保证成交之后，按照响应文件要求提供相关后续服务；</w:t>
      </w:r>
    </w:p>
    <w:p w14:paraId="3DCC27AC">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十、保证企业及所属相关人员在本次响应中无行贿等犯罪行为；</w:t>
      </w:r>
    </w:p>
    <w:p w14:paraId="2F8BCA6C">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781B1BB">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以上内容我已仔细阅读，本公司若有违反承诺内容的行为，自愿接受取消响应或者中标（成交）资格、记入不良行为记录等有关处理，愿意承担法律责任，给采购人造成损失的，依法承担赔偿责任。</w:t>
      </w:r>
    </w:p>
    <w:p w14:paraId="06887F77">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p>
    <w:p w14:paraId="0BB7BCA6">
      <w:pPr>
        <w:spacing w:line="520" w:lineRule="exact"/>
        <w:jc w:val="left"/>
        <w:rPr>
          <w:rFonts w:ascii="宋体" w:hAnsi="宋体" w:eastAsia="宋体" w:cs="宋体"/>
          <w:color w:val="000000" w:themeColor="text1"/>
          <w:sz w:val="24"/>
          <w:szCs w:val="24"/>
          <w:highlight w:val="none"/>
          <w14:textFill>
            <w14:solidFill>
              <w14:schemeClr w14:val="tx1"/>
            </w14:solidFill>
          </w14:textFill>
        </w:rPr>
      </w:pPr>
    </w:p>
    <w:p w14:paraId="0AFCDFEA">
      <w:pPr>
        <w:spacing w:line="6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基本账户：</w:t>
      </w:r>
    </w:p>
    <w:p w14:paraId="5915D8AF">
      <w:pPr>
        <w:spacing w:line="6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供应商（签章）：             法定代表人（签章）：</w:t>
      </w:r>
    </w:p>
    <w:p w14:paraId="7E243A40">
      <w:pPr>
        <w:spacing w:line="600" w:lineRule="exact"/>
        <w:ind w:firstLine="4095" w:firstLineChars="1950"/>
        <w:rPr>
          <w:rFonts w:ascii="宋体" w:hAnsi="宋体"/>
          <w:color w:val="000000" w:themeColor="text1"/>
          <w:szCs w:val="21"/>
          <w:highlight w:val="none"/>
          <w14:textFill>
            <w14:solidFill>
              <w14:schemeClr w14:val="tx1"/>
            </w14:solidFill>
          </w14:textFill>
        </w:rPr>
      </w:pPr>
    </w:p>
    <w:p w14:paraId="0267D788">
      <w:pPr>
        <w:spacing w:line="600" w:lineRule="exact"/>
        <w:ind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7B6C59AF">
      <w:pPr>
        <w:spacing w:line="360" w:lineRule="auto"/>
        <w:jc w:val="center"/>
        <w:rPr>
          <w:rFonts w:hint="eastAsia"/>
          <w:b/>
          <w:color w:val="000000" w:themeColor="text1"/>
          <w:sz w:val="28"/>
          <w:szCs w:val="28"/>
          <w:highlight w:val="none"/>
          <w14:textFill>
            <w14:solidFill>
              <w14:schemeClr w14:val="tx1"/>
            </w14:solidFill>
          </w14:textFill>
        </w:rPr>
      </w:pPr>
    </w:p>
    <w:p w14:paraId="427FC823">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4347FA1">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4C790666">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4B15911">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AE21F83">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4BD741D5">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031E3DFE">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60B71F7">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6633F598">
      <w:pPr>
        <w:rPr>
          <w:rFonts w:hint="eastAsia" w:ascii="宋体"/>
          <w:b/>
          <w:color w:val="000000" w:themeColor="text1"/>
          <w:sz w:val="44"/>
          <w:szCs w:val="44"/>
          <w:highlight w:val="none"/>
          <w:lang w:val="en-US" w:eastAsia="zh-CN"/>
          <w14:textFill>
            <w14:solidFill>
              <w14:schemeClr w14:val="tx1"/>
            </w14:solidFill>
          </w14:textFill>
        </w:rPr>
      </w:pPr>
      <w:r>
        <w:rPr>
          <w:rFonts w:hint="eastAsia" w:ascii="宋体"/>
          <w:b/>
          <w:color w:val="000000" w:themeColor="text1"/>
          <w:sz w:val="44"/>
          <w:szCs w:val="44"/>
          <w:highlight w:val="none"/>
          <w:lang w:val="en-US" w:eastAsia="zh-CN"/>
          <w14:textFill>
            <w14:solidFill>
              <w14:schemeClr w14:val="tx1"/>
            </w14:solidFill>
          </w14:textFill>
        </w:rPr>
        <w:br w:type="page"/>
      </w:r>
    </w:p>
    <w:bookmarkEnd w:id="116"/>
    <w:bookmarkEnd w:id="117"/>
    <w:p w14:paraId="43C05828">
      <w:pPr>
        <w:rPr>
          <w:rFonts w:hint="eastAsia" w:ascii="宋体"/>
          <w:b/>
          <w:color w:val="000000" w:themeColor="text1"/>
          <w:sz w:val="30"/>
          <w:szCs w:val="30"/>
          <w:highlight w:val="none"/>
          <w:lang w:val="en-US" w:eastAsia="zh-CN"/>
          <w14:textFill>
            <w14:solidFill>
              <w14:schemeClr w14:val="tx1"/>
            </w14:solidFill>
          </w14:textFill>
        </w:rPr>
      </w:pPr>
      <w:r>
        <w:rPr>
          <w:rFonts w:hint="eastAsia" w:ascii="宋体"/>
          <w:b/>
          <w:color w:val="000000" w:themeColor="text1"/>
          <w:sz w:val="30"/>
          <w:szCs w:val="30"/>
          <w:highlight w:val="none"/>
          <w:lang w:val="en-US" w:eastAsia="zh-CN"/>
          <w14:textFill>
            <w14:solidFill>
              <w14:schemeClr w14:val="tx1"/>
            </w14:solidFill>
          </w14:textFill>
        </w:rPr>
        <w:t>附件3</w:t>
      </w:r>
    </w:p>
    <w:p w14:paraId="65755518">
      <w:pPr>
        <w:jc w:val="center"/>
        <w:rPr>
          <w:rFonts w:hint="eastAsia" w:ascii="宋体" w:hAnsi="Times New Roman" w:cs="Times New Roman"/>
          <w:b/>
          <w:color w:val="000000" w:themeColor="text1"/>
          <w:sz w:val="30"/>
          <w:szCs w:val="30"/>
          <w:highlight w:val="none"/>
          <w:lang w:val="en-US" w:eastAsia="zh-CN"/>
          <w14:textFill>
            <w14:solidFill>
              <w14:schemeClr w14:val="tx1"/>
            </w14:solidFill>
          </w14:textFill>
        </w:rPr>
      </w:pPr>
      <w:r>
        <w:rPr>
          <w:rFonts w:hint="eastAsia" w:ascii="宋体" w:hAnsi="Times New Roman" w:cs="Times New Roman"/>
          <w:b/>
          <w:color w:val="000000" w:themeColor="text1"/>
          <w:sz w:val="30"/>
          <w:szCs w:val="30"/>
          <w:highlight w:val="none"/>
          <w:lang w:val="en-US" w:eastAsia="zh-CN"/>
          <w14:textFill>
            <w14:solidFill>
              <w14:schemeClr w14:val="tx1"/>
            </w14:solidFill>
          </w14:textFill>
        </w:rPr>
        <w:t>投标函</w:t>
      </w:r>
    </w:p>
    <w:p w14:paraId="62304E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致：</w:t>
      </w:r>
      <w:r>
        <w:rPr>
          <w:rFonts w:hint="eastAsia" w:ascii="宋体" w:hAnsi="宋体" w:eastAsia="宋体" w:cs="宋体"/>
          <w:color w:val="000000" w:themeColor="text1"/>
          <w:sz w:val="22"/>
          <w:szCs w:val="22"/>
          <w:u w:val="single"/>
          <w14:textFill>
            <w14:solidFill>
              <w14:schemeClr w14:val="tx1"/>
            </w14:solidFill>
          </w14:textFill>
        </w:rPr>
        <w:t xml:space="preserve">       (招标人)       </w:t>
      </w:r>
      <w:r>
        <w:rPr>
          <w:rFonts w:hint="eastAsia" w:ascii="宋体" w:hAnsi="宋体" w:eastAsia="宋体" w:cs="宋体"/>
          <w:color w:val="000000" w:themeColor="text1"/>
          <w:sz w:val="22"/>
          <w:szCs w:val="22"/>
          <w14:textFill>
            <w14:solidFill>
              <w14:schemeClr w14:val="tx1"/>
            </w14:solidFill>
          </w14:textFill>
        </w:rPr>
        <w:t xml:space="preserve"> </w:t>
      </w:r>
    </w:p>
    <w:p w14:paraId="53BF7B73">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1.我们决定参加贵单位组织的“</w:t>
      </w:r>
      <w:r>
        <w:rPr>
          <w:rFonts w:hint="eastAsia" w:ascii="宋体" w:hAnsi="宋体" w:eastAsia="宋体" w:cs="宋体"/>
          <w:color w:val="000000" w:themeColor="text1"/>
          <w:sz w:val="22"/>
          <w:szCs w:val="22"/>
          <w:u w:val="single"/>
          <w14:textFill>
            <w14:solidFill>
              <w14:schemeClr w14:val="tx1"/>
            </w14:solidFill>
          </w14:textFill>
        </w:rPr>
        <w:t xml:space="preserve"> （项目名称）  </w:t>
      </w:r>
      <w:r>
        <w:rPr>
          <w:rFonts w:hint="eastAsia" w:ascii="宋体" w:hAnsi="宋体" w:eastAsia="宋体" w:cs="宋体"/>
          <w:color w:val="000000" w:themeColor="text1"/>
          <w:sz w:val="22"/>
          <w:szCs w:val="22"/>
          <w14:textFill>
            <w14:solidFill>
              <w14:schemeClr w14:val="tx1"/>
            </w14:solidFill>
          </w14:textFill>
        </w:rPr>
        <w:t xml:space="preserve">的采购。我方授权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(姓名和职务)代表我方</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（投标人的名称）全权处理本项目投标的有关事宜。</w:t>
      </w:r>
    </w:p>
    <w:p w14:paraId="6DF041E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2.我方愿意按照招标文件规定提供服务的投标报价为（每辆车辆保费商业险自主定价系数）</w:t>
      </w:r>
      <w:r>
        <w:rPr>
          <w:rFonts w:hint="eastAsia" w:ascii="宋体" w:hAnsi="宋体" w:eastAsia="宋体" w:cs="宋体"/>
          <w:color w:val="000000" w:themeColor="text1"/>
          <w:sz w:val="22"/>
          <w:szCs w:val="22"/>
          <w:u w:val="single"/>
          <w14:textFill>
            <w14:solidFill>
              <w14:schemeClr w14:val="tx1"/>
            </w14:solidFill>
          </w14:textFill>
        </w:rPr>
        <w:t xml:space="preserve">（大写）         （小写）            </w:t>
      </w:r>
      <w:r>
        <w:rPr>
          <w:rFonts w:hint="eastAsia" w:ascii="宋体" w:hAnsi="宋体" w:eastAsia="宋体" w:cs="宋体"/>
          <w:color w:val="000000" w:themeColor="text1"/>
          <w:sz w:val="22"/>
          <w:szCs w:val="22"/>
          <w14:textFill>
            <w14:solidFill>
              <w14:schemeClr w14:val="tx1"/>
            </w14:solidFill>
          </w14:textFill>
        </w:rPr>
        <w:t>，服务期限</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u w:val="single"/>
          <w:lang w:val="en-US" w:eastAsia="zh-CN"/>
          <w14:textFill>
            <w14:solidFill>
              <w14:schemeClr w14:val="tx1"/>
            </w14:solidFill>
          </w14:textFill>
        </w:rPr>
        <w:t>响应招标文件要求</w:t>
      </w:r>
      <w:r>
        <w:rPr>
          <w:rFonts w:hint="eastAsia" w:ascii="宋体" w:hAnsi="宋体" w:eastAsia="宋体" w:cs="宋体"/>
          <w:color w:val="000000" w:themeColor="text1"/>
          <w:sz w:val="22"/>
          <w:szCs w:val="22"/>
          <w:u w:val="single"/>
          <w14:textFill>
            <w14:solidFill>
              <w14:schemeClr w14:val="tx1"/>
            </w14:solidFill>
          </w14:textFill>
        </w:rPr>
        <w:t>。</w:t>
      </w:r>
    </w:p>
    <w:p w14:paraId="0B463E7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3.一旦我方成为合同签字人，我方将严格履行合同规定的责任和义务。</w:t>
      </w:r>
    </w:p>
    <w:p w14:paraId="78EE4CD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4.我方同意按照招标文件的要求，递交金额为人民币</w:t>
      </w:r>
      <w:r>
        <w:rPr>
          <w:rFonts w:hint="eastAsia" w:ascii="宋体" w:hAnsi="宋体" w:eastAsia="宋体" w:cs="宋体"/>
          <w:color w:val="000000" w:themeColor="text1"/>
          <w:sz w:val="22"/>
          <w:szCs w:val="22"/>
          <w:u w:val="single"/>
          <w14:textFill>
            <w14:solidFill>
              <w14:schemeClr w14:val="tx1"/>
            </w14:solidFill>
          </w14:textFill>
        </w:rPr>
        <w:t xml:space="preserve">  0元  </w:t>
      </w:r>
      <w:r>
        <w:rPr>
          <w:rFonts w:hint="eastAsia" w:ascii="宋体" w:hAnsi="宋体" w:eastAsia="宋体" w:cs="宋体"/>
          <w:color w:val="000000" w:themeColor="text1"/>
          <w:sz w:val="22"/>
          <w:szCs w:val="22"/>
          <w14:textFill>
            <w14:solidFill>
              <w14:schemeClr w14:val="tx1"/>
            </w14:solidFill>
          </w14:textFill>
        </w:rPr>
        <w:t>的投标保证金。并且承诺，在投标有效期内如果我方撤回响应文件或成为合同签字人后拒绝签订合同，我方将放弃要求退还该保证金的权力。</w:t>
      </w:r>
    </w:p>
    <w:p w14:paraId="028F8AC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5.若我方中标，愿意为本项目提交的纸质投标书一式</w:t>
      </w:r>
      <w:r>
        <w:rPr>
          <w:rFonts w:hint="eastAsia" w:ascii="宋体" w:hAnsi="宋体" w:eastAsia="宋体" w:cs="宋体"/>
          <w:color w:val="000000" w:themeColor="text1"/>
          <w:sz w:val="22"/>
          <w:szCs w:val="22"/>
          <w:lang w:val="en-US" w:eastAsia="zh-CN"/>
          <w14:textFill>
            <w14:solidFill>
              <w14:schemeClr w14:val="tx1"/>
            </w14:solidFill>
          </w14:textFill>
        </w:rPr>
        <w:t>二</w:t>
      </w:r>
      <w:r>
        <w:rPr>
          <w:rFonts w:hint="eastAsia" w:ascii="宋体" w:hAnsi="宋体" w:eastAsia="宋体" w:cs="宋体"/>
          <w:color w:val="000000" w:themeColor="text1"/>
          <w:sz w:val="22"/>
          <w:szCs w:val="22"/>
          <w14:textFill>
            <w14:solidFill>
              <w14:schemeClr w14:val="tx1"/>
            </w14:solidFill>
          </w14:textFill>
        </w:rPr>
        <w:t>份，其中正本一份、副本</w:t>
      </w:r>
      <w:r>
        <w:rPr>
          <w:rFonts w:hint="eastAsia" w:ascii="宋体" w:hAnsi="宋体" w:eastAsia="宋体" w:cs="宋体"/>
          <w:color w:val="000000" w:themeColor="text1"/>
          <w:sz w:val="22"/>
          <w:szCs w:val="22"/>
          <w:lang w:val="en-US" w:eastAsia="zh-CN"/>
          <w14:textFill>
            <w14:solidFill>
              <w14:schemeClr w14:val="tx1"/>
            </w14:solidFill>
          </w14:textFill>
        </w:rPr>
        <w:t>一</w:t>
      </w:r>
      <w:r>
        <w:rPr>
          <w:rFonts w:hint="eastAsia" w:ascii="宋体" w:hAnsi="宋体" w:eastAsia="宋体" w:cs="宋体"/>
          <w:color w:val="000000" w:themeColor="text1"/>
          <w:sz w:val="22"/>
          <w:szCs w:val="22"/>
          <w14:textFill>
            <w14:solidFill>
              <w14:schemeClr w14:val="tx1"/>
            </w14:solidFill>
          </w14:textFill>
        </w:rPr>
        <w:t>份。</w:t>
      </w:r>
    </w:p>
    <w:p w14:paraId="2D4FA8D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6.我方愿意提供可能另外要求的、与采购投标有关的文件资料，并保证我方已提供和将要提供的文件是真实的、准确的。</w:t>
      </w:r>
    </w:p>
    <w:p w14:paraId="5A713AA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7.我单位提供如下通讯地址</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，电子邮箱（地址）：</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，确认本项目相关法律文书均通过提供的以上地址送达，相关文书只要发送至以上电子邮箱（地址）即视为送达，投标人愿意承担一切法律后果。</w:t>
      </w:r>
    </w:p>
    <w:p w14:paraId="7B787743">
      <w:pPr>
        <w:spacing w:line="440" w:lineRule="exact"/>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p>
    <w:p w14:paraId="3AB7EB3D">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投标人：</w:t>
      </w:r>
      <w:r>
        <w:rPr>
          <w:rFonts w:hint="eastAsia"/>
          <w:color w:val="000000" w:themeColor="text1"/>
          <w:sz w:val="22"/>
          <w:szCs w:val="22"/>
          <w:u w:val="single"/>
          <w14:textFill>
            <w14:solidFill>
              <w14:schemeClr w14:val="tx1"/>
            </w14:solidFill>
          </w14:textFill>
        </w:rPr>
        <w:t xml:space="preserve">( 盖章 )                ； </w:t>
      </w:r>
    </w:p>
    <w:p w14:paraId="14301923">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单位地址：</w:t>
      </w:r>
      <w:r>
        <w:rPr>
          <w:rFonts w:hint="eastAsia"/>
          <w:color w:val="000000" w:themeColor="text1"/>
          <w:sz w:val="22"/>
          <w:szCs w:val="22"/>
          <w:u w:val="single"/>
          <w14:textFill>
            <w14:solidFill>
              <w14:schemeClr w14:val="tx1"/>
            </w14:solidFill>
          </w14:textFill>
        </w:rPr>
        <w:t>                     ；</w:t>
      </w:r>
    </w:p>
    <w:p w14:paraId="7CDED427">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法人代表或委托代理人：</w:t>
      </w:r>
      <w:r>
        <w:rPr>
          <w:rFonts w:hint="eastAsia"/>
          <w:color w:val="000000" w:themeColor="text1"/>
          <w:sz w:val="22"/>
          <w:szCs w:val="22"/>
          <w:u w:val="single"/>
          <w14:textFill>
            <w14:solidFill>
              <w14:schemeClr w14:val="tx1"/>
            </w14:solidFill>
          </w14:textFill>
        </w:rPr>
        <w:t>（签字或盖章）              ；</w:t>
      </w:r>
    </w:p>
    <w:p w14:paraId="3F326C4E">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电话：</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邮箱：</w:t>
      </w:r>
      <w:r>
        <w:rPr>
          <w:rFonts w:hint="eastAsia"/>
          <w:color w:val="000000" w:themeColor="text1"/>
          <w:sz w:val="22"/>
          <w:szCs w:val="22"/>
          <w:u w:val="single"/>
          <w14:textFill>
            <w14:solidFill>
              <w14:schemeClr w14:val="tx1"/>
            </w14:solidFill>
          </w14:textFill>
        </w:rPr>
        <w:t>            ；</w:t>
      </w:r>
    </w:p>
    <w:p w14:paraId="4F7C6FDA">
      <w:pPr>
        <w:pStyle w:val="32"/>
        <w:spacing w:line="360" w:lineRule="auto"/>
        <w:rPr>
          <w:rFonts w:hint="eastAsia"/>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日期：</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年</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日 </w:t>
      </w:r>
    </w:p>
    <w:p w14:paraId="0890225D">
      <w:pPr>
        <w:jc w:val="center"/>
        <w:rPr>
          <w:rFonts w:hint="eastAsia"/>
          <w:color w:val="000000" w:themeColor="text1"/>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br w:type="page"/>
      </w:r>
    </w:p>
    <w:p w14:paraId="3451F88B">
      <w:pPr>
        <w:spacing w:line="360" w:lineRule="exact"/>
        <w:ind w:firstLine="443" w:firstLineChars="147"/>
        <w:rPr>
          <w:rFonts w:hint="eastAsia" w:ascii="宋体" w:eastAsia="宋体"/>
          <w:b/>
          <w:color w:val="000000" w:themeColor="text1"/>
          <w:sz w:val="30"/>
          <w:szCs w:val="30"/>
          <w:highlight w:val="none"/>
          <w:lang w:eastAsia="zh-CN"/>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附件</w:t>
      </w:r>
      <w:r>
        <w:rPr>
          <w:rFonts w:hint="eastAsia" w:ascii="宋体"/>
          <w:b/>
          <w:color w:val="000000" w:themeColor="text1"/>
          <w:sz w:val="30"/>
          <w:szCs w:val="30"/>
          <w:highlight w:val="none"/>
          <w:lang w:val="en-US" w:eastAsia="zh-CN"/>
          <w14:textFill>
            <w14:solidFill>
              <w14:schemeClr w14:val="tx1"/>
            </w14:solidFill>
          </w14:textFill>
        </w:rPr>
        <w:t>4</w:t>
      </w:r>
    </w:p>
    <w:p w14:paraId="71843435">
      <w:pPr>
        <w:jc w:val="center"/>
        <w:rPr>
          <w:rFonts w:hint="eastAsia" w:ascii="宋体"/>
          <w:b/>
          <w:color w:val="000000" w:themeColor="text1"/>
          <w:sz w:val="30"/>
          <w:szCs w:val="30"/>
          <w:highlight w:val="none"/>
          <w14:textFill>
            <w14:solidFill>
              <w14:schemeClr w14:val="tx1"/>
            </w14:solidFill>
          </w14:textFill>
        </w:rPr>
      </w:pPr>
    </w:p>
    <w:p w14:paraId="26394BCE">
      <w:pPr>
        <w:jc w:val="center"/>
        <w:rPr>
          <w:rFonts w:hint="eastAsia" w:ascii="宋体"/>
          <w:b/>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服务承诺书</w:t>
      </w:r>
    </w:p>
    <w:p w14:paraId="711615B3">
      <w:pPr>
        <w:ind w:firstLine="480" w:firstLineChars="200"/>
        <w:rPr>
          <w:rFonts w:hint="eastAsia" w:ascii="宋体"/>
          <w:color w:val="000000" w:themeColor="text1"/>
          <w:sz w:val="24"/>
          <w:highlight w:val="none"/>
          <w14:textFill>
            <w14:solidFill>
              <w14:schemeClr w14:val="tx1"/>
            </w14:solidFill>
          </w14:textFill>
        </w:rPr>
      </w:pPr>
    </w:p>
    <w:p w14:paraId="788C4665">
      <w:pPr>
        <w:ind w:firstLine="480" w:firstLineChars="200"/>
        <w:rPr>
          <w:rFonts w:hint="eastAsia"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w:t>
      </w:r>
      <w:r>
        <w:rPr>
          <w:rFonts w:hint="eastAsia" w:ascii="宋体"/>
          <w:color w:val="000000" w:themeColor="text1"/>
          <w:sz w:val="24"/>
          <w:highlight w:val="none"/>
          <w14:textFill>
            <w14:solidFill>
              <w14:schemeClr w14:val="tx1"/>
            </w14:solidFill>
          </w14:textFill>
        </w:rPr>
        <w:t>：</w:t>
      </w:r>
    </w:p>
    <w:p w14:paraId="44FCC525">
      <w:pPr>
        <w:spacing w:line="8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本承诺声明：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（投标人名称）对本招标文件的相关要求完全响应。若有幸中标将严格按照以上承诺进行服务。</w:t>
      </w:r>
    </w:p>
    <w:p w14:paraId="1FC8003E">
      <w:pPr>
        <w:spacing w:line="8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特此声明。</w:t>
      </w:r>
    </w:p>
    <w:p w14:paraId="23943D50">
      <w:pPr>
        <w:spacing w:line="6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90D9EB2">
      <w:pPr>
        <w:spacing w:line="48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投标人名称：</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（盖单位章）</w:t>
      </w:r>
    </w:p>
    <w:p w14:paraId="7FA63719">
      <w:pPr>
        <w:spacing w:line="480" w:lineRule="auto"/>
        <w:ind w:firstLine="480" w:firstLineChars="200"/>
        <w:jc w:val="righ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lang w:val="en-US" w:eastAsia="zh-CN"/>
          <w14:textFill>
            <w14:solidFill>
              <w14:schemeClr w14:val="tx1"/>
            </w14:solidFill>
          </w14:textFill>
        </w:rPr>
        <w:t>签字或盖章</w:t>
      </w:r>
      <w:r>
        <w:rPr>
          <w:rFonts w:hint="eastAsia" w:ascii="宋体" w:hAnsi="宋体"/>
          <w:color w:val="000000" w:themeColor="text1"/>
          <w:sz w:val="24"/>
          <w:szCs w:val="21"/>
          <w:highlight w:val="none"/>
          <w14:textFill>
            <w14:solidFill>
              <w14:schemeClr w14:val="tx1"/>
            </w14:solidFill>
          </w14:textFill>
        </w:rPr>
        <w:t>)</w:t>
      </w:r>
    </w:p>
    <w:p w14:paraId="3EA03897">
      <w:pPr>
        <w:spacing w:line="480" w:lineRule="auto"/>
        <w:jc w:val="right"/>
        <w:rPr>
          <w:rFonts w:hint="eastAsia"/>
          <w:b/>
          <w:color w:val="000000" w:themeColor="text1"/>
          <w:sz w:val="36"/>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日    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145908FB">
      <w:pPr>
        <w:pStyle w:val="13"/>
        <w:rPr>
          <w:color w:val="000000" w:themeColor="text1"/>
          <w:highlight w:val="none"/>
          <w14:textFill>
            <w14:solidFill>
              <w14:schemeClr w14:val="tx1"/>
            </w14:solidFill>
          </w14:textFill>
        </w:rPr>
      </w:pPr>
    </w:p>
    <w:p w14:paraId="596A7CD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050DA6C">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0C9D3088">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1DCE1F6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8E7B54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34A1429">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0036278">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030D830D">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A4A11C3">
      <w:pPr>
        <w:spacing w:line="400" w:lineRule="exact"/>
        <w:ind w:firstLine="562" w:firstLineChars="200"/>
        <w:rPr>
          <w:b/>
          <w:color w:val="000000" w:themeColor="text1"/>
          <w:sz w:val="28"/>
          <w:szCs w:val="28"/>
          <w:highlight w:val="none"/>
          <w14:textFill>
            <w14:solidFill>
              <w14:schemeClr w14:val="tx1"/>
            </w14:solidFill>
          </w14:textFill>
        </w:rPr>
      </w:pPr>
    </w:p>
    <w:p w14:paraId="1F99CDFA">
      <w:pPr>
        <w:spacing w:line="400" w:lineRule="exact"/>
        <w:ind w:firstLine="562" w:firstLineChars="200"/>
        <w:rPr>
          <w:b/>
          <w:color w:val="000000" w:themeColor="text1"/>
          <w:sz w:val="28"/>
          <w:szCs w:val="28"/>
          <w:highlight w:val="none"/>
          <w14:textFill>
            <w14:solidFill>
              <w14:schemeClr w14:val="tx1"/>
            </w14:solidFill>
          </w14:textFill>
        </w:rPr>
      </w:pPr>
    </w:p>
    <w:p w14:paraId="259668B3">
      <w:pPr>
        <w:spacing w:line="400" w:lineRule="exact"/>
        <w:ind w:firstLine="562" w:firstLineChars="200"/>
        <w:rPr>
          <w:b/>
          <w:color w:val="000000" w:themeColor="text1"/>
          <w:sz w:val="28"/>
          <w:szCs w:val="28"/>
          <w:highlight w:val="none"/>
          <w14:textFill>
            <w14:solidFill>
              <w14:schemeClr w14:val="tx1"/>
            </w14:solidFill>
          </w14:textFill>
        </w:rPr>
      </w:pPr>
    </w:p>
    <w:p w14:paraId="4BFB704F">
      <w:pPr>
        <w:pStyle w:val="36"/>
        <w:rPr>
          <w:color w:val="000000" w:themeColor="text1"/>
          <w:highlight w:val="none"/>
          <w14:textFill>
            <w14:solidFill>
              <w14:schemeClr w14:val="tx1"/>
            </w14:solidFill>
          </w14:textFill>
        </w:rPr>
      </w:pPr>
    </w:p>
    <w:p w14:paraId="03AE9702">
      <w:pPr>
        <w:spacing w:line="400" w:lineRule="exact"/>
        <w:ind w:firstLine="562" w:firstLineChars="200"/>
        <w:rPr>
          <w:rFonts w:hint="eastAsia"/>
          <w:b/>
          <w:color w:val="000000" w:themeColor="text1"/>
          <w:sz w:val="28"/>
          <w:szCs w:val="28"/>
          <w:highlight w:val="none"/>
          <w14:textFill>
            <w14:solidFill>
              <w14:schemeClr w14:val="tx1"/>
            </w14:solidFill>
          </w14:textFill>
        </w:rPr>
      </w:pPr>
    </w:p>
    <w:bookmarkEnd w:id="69"/>
    <w:bookmarkEnd w:id="70"/>
    <w:p w14:paraId="21489F37">
      <w:pPr>
        <w:spacing w:line="440" w:lineRule="exact"/>
        <w:jc w:val="center"/>
        <w:outlineLvl w:val="0"/>
        <w:rPr>
          <w:rFonts w:hint="eastAsia" w:ascii="宋体"/>
          <w:b/>
          <w:color w:val="000000" w:themeColor="text1"/>
          <w:sz w:val="32"/>
          <w:szCs w:val="32"/>
          <w:highlight w:val="none"/>
          <w:lang w:val="en-US" w:eastAsia="zh-CN"/>
          <w14:textFill>
            <w14:solidFill>
              <w14:schemeClr w14:val="tx1"/>
            </w14:solidFill>
          </w14:textFill>
        </w:rPr>
      </w:pPr>
      <w:bookmarkStart w:id="118" w:name="_Toc58430333"/>
      <w:bookmarkStart w:id="119" w:name="_Toc449028957"/>
    </w:p>
    <w:p w14:paraId="2D1FC77D">
      <w:pPr>
        <w:spacing w:line="440" w:lineRule="exact"/>
        <w:jc w:val="center"/>
        <w:outlineLvl w:val="0"/>
        <w:rPr>
          <w:rFonts w:hint="eastAsia" w:ascii="宋体"/>
          <w:b/>
          <w:color w:val="000000" w:themeColor="text1"/>
          <w:sz w:val="32"/>
          <w:szCs w:val="32"/>
          <w:highlight w:val="none"/>
          <w:lang w:val="en-US" w:eastAsia="zh-CN"/>
          <w14:textFill>
            <w14:solidFill>
              <w14:schemeClr w14:val="tx1"/>
            </w14:solidFill>
          </w14:textFill>
        </w:rPr>
      </w:pPr>
    </w:p>
    <w:p w14:paraId="135E20A2">
      <w:pPr>
        <w:spacing w:line="440" w:lineRule="exact"/>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招标人</w:t>
      </w:r>
      <w:r>
        <w:rPr>
          <w:rFonts w:hint="eastAsia" w:ascii="宋体"/>
          <w:b/>
          <w:color w:val="000000" w:themeColor="text1"/>
          <w:sz w:val="32"/>
          <w:szCs w:val="32"/>
          <w:highlight w:val="none"/>
          <w14:textFill>
            <w14:solidFill>
              <w14:schemeClr w14:val="tx1"/>
            </w14:solidFill>
          </w14:textFill>
        </w:rPr>
        <w:t>、</w:t>
      </w:r>
      <w:r>
        <w:rPr>
          <w:rFonts w:hint="eastAsia" w:ascii="宋体"/>
          <w:b/>
          <w:color w:val="000000" w:themeColor="text1"/>
          <w:sz w:val="32"/>
          <w:szCs w:val="32"/>
          <w:highlight w:val="none"/>
          <w:lang w:val="en-US" w:eastAsia="zh-CN"/>
          <w14:textFill>
            <w14:solidFill>
              <w14:schemeClr w14:val="tx1"/>
            </w14:solidFill>
          </w14:textFill>
        </w:rPr>
        <w:t>招标</w:t>
      </w:r>
      <w:r>
        <w:rPr>
          <w:rFonts w:hint="eastAsia" w:ascii="宋体"/>
          <w:b/>
          <w:color w:val="000000" w:themeColor="text1"/>
          <w:sz w:val="32"/>
          <w:szCs w:val="32"/>
          <w:highlight w:val="none"/>
          <w14:textFill>
            <w14:solidFill>
              <w14:schemeClr w14:val="tx1"/>
            </w14:solidFill>
          </w14:textFill>
        </w:rPr>
        <w:t>代理机构对本招标文件的确认</w:t>
      </w:r>
      <w:bookmarkEnd w:id="118"/>
      <w:bookmarkEnd w:id="119"/>
    </w:p>
    <w:p w14:paraId="04E2E7F0">
      <w:pPr>
        <w:spacing w:line="440" w:lineRule="exact"/>
        <w:rPr>
          <w:rFonts w:hint="eastAsia" w:ascii="宋体"/>
          <w:color w:val="000000" w:themeColor="text1"/>
          <w:sz w:val="24"/>
          <w:highlight w:val="none"/>
          <w:u w:val="single"/>
          <w14:textFill>
            <w14:solidFill>
              <w14:schemeClr w14:val="tx1"/>
            </w14:solidFill>
          </w14:textFill>
        </w:rPr>
      </w:pPr>
    </w:p>
    <w:tbl>
      <w:tblPr>
        <w:tblStyle w:val="37"/>
        <w:tblW w:w="0" w:type="auto"/>
        <w:jc w:val="center"/>
        <w:tblLayout w:type="fixed"/>
        <w:tblCellMar>
          <w:top w:w="0" w:type="dxa"/>
          <w:left w:w="108" w:type="dxa"/>
          <w:bottom w:w="0" w:type="dxa"/>
          <w:right w:w="108" w:type="dxa"/>
        </w:tblCellMar>
      </w:tblPr>
      <w:tblGrid>
        <w:gridCol w:w="9374"/>
      </w:tblGrid>
      <w:tr w14:paraId="771D33CC">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A493853">
            <w:pPr>
              <w:spacing w:line="440" w:lineRule="exact"/>
              <w:ind w:firstLine="560" w:firstLineChars="200"/>
              <w:rPr>
                <w:rFonts w:hint="eastAsia" w:ascii="宋体" w:cs="宋体"/>
                <w:color w:val="000000" w:themeColor="text1"/>
                <w:sz w:val="28"/>
                <w:szCs w:val="28"/>
                <w:highlight w:val="none"/>
                <w14:textFill>
                  <w14:solidFill>
                    <w14:schemeClr w14:val="tx1"/>
                  </w14:solidFill>
                </w14:textFill>
              </w:rPr>
            </w:pPr>
          </w:p>
          <w:p w14:paraId="0A2F0462">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我单位对</w:t>
            </w:r>
            <w:r>
              <w:rPr>
                <w:rFonts w:hint="eastAsia" w:ascii="宋体" w:cs="宋体"/>
                <w:color w:val="000000" w:themeColor="text1"/>
                <w:sz w:val="28"/>
                <w:szCs w:val="28"/>
                <w:highlight w:val="none"/>
                <w:u w:val="single"/>
                <w:lang w:val="en-US" w:eastAsia="zh-CN"/>
                <w14:textFill>
                  <w14:solidFill>
                    <w14:schemeClr w14:val="tx1"/>
                  </w14:solidFill>
                </w14:textFill>
              </w:rPr>
              <w:t>滁州市军粮供应站有限公司车辆定点保险项目（二次）</w:t>
            </w:r>
            <w:r>
              <w:rPr>
                <w:rFonts w:hint="eastAsia" w:ascii="宋体" w:cs="宋体"/>
                <w:color w:val="000000" w:themeColor="text1"/>
                <w:sz w:val="28"/>
                <w:szCs w:val="28"/>
                <w:highlight w:val="none"/>
                <w14:textFill>
                  <w14:solidFill>
                    <w14:schemeClr w14:val="tx1"/>
                  </w14:solidFill>
                </w14:textFill>
              </w:rPr>
              <w:t>的招标文件进行确认。</w:t>
            </w:r>
          </w:p>
          <w:p w14:paraId="208C4681">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招标单位：</w:t>
            </w:r>
            <w:r>
              <w:rPr>
                <w:rFonts w:hint="eastAsia" w:ascii="宋体" w:hAnsi="宋体" w:cs="宋体"/>
                <w:color w:val="000000" w:themeColor="text1"/>
                <w:sz w:val="28"/>
                <w:szCs w:val="28"/>
                <w:highlight w:val="none"/>
                <w:lang w:eastAsia="zh-CN"/>
                <w14:textFill>
                  <w14:solidFill>
                    <w14:schemeClr w14:val="tx1"/>
                  </w14:solidFill>
                </w14:textFill>
              </w:rPr>
              <w:t>滁州市军粮供应站有限公司</w:t>
            </w:r>
          </w:p>
          <w:p w14:paraId="33D21314">
            <w:pPr>
              <w:spacing w:line="360"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委托代理人：</w:t>
            </w:r>
            <w:r>
              <w:rPr>
                <w:rFonts w:hint="eastAsia" w:ascii="宋体" w:hAnsi="宋体" w:cs="宋体"/>
                <w:color w:val="000000" w:themeColor="text1"/>
                <w:sz w:val="28"/>
                <w:szCs w:val="28"/>
                <w:highlight w:val="none"/>
                <w:lang w:val="en-US" w:eastAsia="zh-CN"/>
                <w14:textFill>
                  <w14:solidFill>
                    <w14:schemeClr w14:val="tx1"/>
                  </w14:solidFill>
                </w14:textFill>
              </w:rPr>
              <w:t>钟庆阳</w:t>
            </w:r>
          </w:p>
          <w:p w14:paraId="6A4C4EC9">
            <w:pPr>
              <w:spacing w:line="360"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w:t>
            </w:r>
            <w:r>
              <w:rPr>
                <w:rFonts w:hint="eastAsia" w:ascii="宋体" w:hAnsi="宋体" w:cs="宋体"/>
                <w:color w:val="000000" w:themeColor="text1"/>
                <w:sz w:val="28"/>
                <w:szCs w:val="28"/>
                <w:highlight w:val="none"/>
                <w:lang w:val="en-US" w:eastAsia="zh-CN"/>
                <w14:textFill>
                  <w14:solidFill>
                    <w14:schemeClr w14:val="tx1"/>
                  </w14:solidFill>
                </w14:textFill>
              </w:rPr>
              <w:t>15375026152</w:t>
            </w:r>
            <w:bookmarkStart w:id="120" w:name="_GoBack"/>
            <w:bookmarkEnd w:id="120"/>
          </w:p>
          <w:p w14:paraId="0980A568">
            <w:pPr>
              <w:spacing w:line="540" w:lineRule="exact"/>
              <w:ind w:firstLine="560" w:firstLineChars="200"/>
              <w:jc w:val="left"/>
              <w:rPr>
                <w:rFonts w:hint="default" w:ascii="宋体" w:eastAsia="宋体" w:cs="宋体"/>
                <w:color w:val="000000" w:themeColor="text1"/>
                <w:sz w:val="28"/>
                <w:szCs w:val="28"/>
                <w:highlight w:val="none"/>
                <w:lang w:val="en-US" w:eastAsia="zh-CN"/>
                <w14:textFill>
                  <w14:solidFill>
                    <w14:schemeClr w14:val="tx1"/>
                  </w14:solidFill>
                </w14:textFill>
              </w:rPr>
            </w:pPr>
            <w:r>
              <w:rPr>
                <w:rFonts w:hint="eastAsia" w:ascii="宋体" w:cs="宋体"/>
                <w:color w:val="000000" w:themeColor="text1"/>
                <w:sz w:val="28"/>
                <w:szCs w:val="28"/>
                <w:highlight w:val="none"/>
                <w:lang w:val="en-US" w:eastAsia="zh-CN"/>
                <w14:textFill>
                  <w14:solidFill>
                    <w14:schemeClr w14:val="tx1"/>
                  </w14:solidFill>
                </w14:textFill>
              </w:rPr>
              <w:t>监督电话：0550-3017855</w:t>
            </w:r>
          </w:p>
          <w:p w14:paraId="03AC67FC">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（盖单位章）</w:t>
            </w:r>
          </w:p>
          <w:p w14:paraId="1A1E50CE">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202</w:t>
            </w:r>
            <w:r>
              <w:rPr>
                <w:rFonts w:hint="eastAsia" w:ascii="宋体" w:cs="宋体"/>
                <w:color w:val="000000" w:themeColor="text1"/>
                <w:sz w:val="28"/>
                <w:szCs w:val="28"/>
                <w:highlight w:val="none"/>
                <w:lang w:val="en-US" w:eastAsia="zh-CN"/>
                <w14:textFill>
                  <w14:solidFill>
                    <w14:schemeClr w14:val="tx1"/>
                  </w14:solidFill>
                </w14:textFill>
              </w:rPr>
              <w:t>5</w:t>
            </w:r>
            <w:r>
              <w:rPr>
                <w:rFonts w:hint="eastAsia" w:ascii="宋体" w:cs="宋体"/>
                <w:color w:val="000000" w:themeColor="text1"/>
                <w:sz w:val="28"/>
                <w:szCs w:val="28"/>
                <w:highlight w:val="none"/>
                <w14:textFill>
                  <w14:solidFill>
                    <w14:schemeClr w14:val="tx1"/>
                  </w14:solidFill>
                </w14:textFill>
              </w:rPr>
              <w:t>年</w:t>
            </w:r>
            <w:r>
              <w:rPr>
                <w:rFonts w:hint="eastAsia" w:ascii="宋体" w:cs="宋体"/>
                <w:color w:val="000000" w:themeColor="text1"/>
                <w:sz w:val="28"/>
                <w:szCs w:val="28"/>
                <w:highlight w:val="none"/>
                <w:lang w:val="en-US" w:eastAsia="zh-CN"/>
                <w14:textFill>
                  <w14:solidFill>
                    <w14:schemeClr w14:val="tx1"/>
                  </w14:solidFill>
                </w14:textFill>
              </w:rPr>
              <w:t>10</w:t>
            </w:r>
            <w:r>
              <w:rPr>
                <w:rFonts w:hint="eastAsia" w:ascii="宋体" w:cs="宋体"/>
                <w:color w:val="000000" w:themeColor="text1"/>
                <w:sz w:val="28"/>
                <w:szCs w:val="28"/>
                <w:highlight w:val="none"/>
                <w14:textFill>
                  <w14:solidFill>
                    <w14:schemeClr w14:val="tx1"/>
                  </w14:solidFill>
                </w14:textFill>
              </w:rPr>
              <w:t>月</w:t>
            </w:r>
          </w:p>
        </w:tc>
      </w:tr>
      <w:tr w14:paraId="43268E00">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6CEC725">
            <w:pPr>
              <w:spacing w:line="440" w:lineRule="exact"/>
              <w:rPr>
                <w:rFonts w:hint="eastAsia" w:ascii="宋体" w:cs="宋体"/>
                <w:color w:val="000000" w:themeColor="text1"/>
                <w:sz w:val="28"/>
                <w:szCs w:val="28"/>
                <w:highlight w:val="none"/>
                <w14:textFill>
                  <w14:solidFill>
                    <w14:schemeClr w14:val="tx1"/>
                  </w14:solidFill>
                </w14:textFill>
              </w:rPr>
            </w:pPr>
          </w:p>
          <w:p w14:paraId="73FF673E">
            <w:pPr>
              <w:spacing w:line="520" w:lineRule="exact"/>
              <w:ind w:firstLine="560" w:firstLineChars="200"/>
              <w:rPr>
                <w:rFonts w:hint="eastAsia" w:ascii="宋体" w:eastAsia="宋体" w:cs="宋体"/>
                <w:color w:val="000000" w:themeColor="text1"/>
                <w:sz w:val="28"/>
                <w:szCs w:val="28"/>
                <w:highlight w:val="none"/>
                <w:lang w:eastAsia="zh-CN"/>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招标代理机构：</w:t>
            </w:r>
            <w:r>
              <w:rPr>
                <w:rFonts w:hint="eastAsia" w:ascii="宋体" w:cs="宋体"/>
                <w:color w:val="000000" w:themeColor="text1"/>
                <w:sz w:val="28"/>
                <w:szCs w:val="28"/>
                <w:highlight w:val="none"/>
                <w:lang w:eastAsia="zh-CN"/>
                <w14:textFill>
                  <w14:solidFill>
                    <w14:schemeClr w14:val="tx1"/>
                  </w14:solidFill>
                </w14:textFill>
              </w:rPr>
              <w:t>滁州市城投工程咨询管理有限公司</w:t>
            </w:r>
          </w:p>
          <w:p w14:paraId="0C8823D3">
            <w:pPr>
              <w:spacing w:line="520" w:lineRule="exact"/>
              <w:ind w:firstLine="560" w:firstLineChars="200"/>
              <w:rPr>
                <w:rFonts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经办人：杨韦</w:t>
            </w:r>
          </w:p>
          <w:p w14:paraId="138485FE">
            <w:pPr>
              <w:spacing w:line="520" w:lineRule="exact"/>
              <w:ind w:firstLine="560" w:firstLineChars="200"/>
              <w:rPr>
                <w:rFonts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电  话：0550-3519590、18005501210</w:t>
            </w:r>
          </w:p>
          <w:p w14:paraId="1BA16D76">
            <w:pPr>
              <w:spacing w:line="520" w:lineRule="exact"/>
              <w:ind w:firstLine="6300" w:firstLineChars="2250"/>
              <w:rPr>
                <w:rFonts w:hint="eastAsia" w:ascii="宋体" w:cs="宋体"/>
                <w:color w:val="000000" w:themeColor="text1"/>
                <w:sz w:val="28"/>
                <w:szCs w:val="28"/>
                <w:highlight w:val="none"/>
                <w14:textFill>
                  <w14:solidFill>
                    <w14:schemeClr w14:val="tx1"/>
                  </w14:solidFill>
                </w14:textFill>
              </w:rPr>
            </w:pPr>
          </w:p>
          <w:p w14:paraId="59B20341">
            <w:pPr>
              <w:pStyle w:val="36"/>
              <w:rPr>
                <w:rFonts w:hint="eastAsia"/>
                <w:color w:val="000000" w:themeColor="text1"/>
                <w:highlight w:val="none"/>
                <w14:textFill>
                  <w14:solidFill>
                    <w14:schemeClr w14:val="tx1"/>
                  </w14:solidFill>
                </w14:textFill>
              </w:rPr>
            </w:pPr>
          </w:p>
          <w:p w14:paraId="3D6B0BBC">
            <w:pPr>
              <w:spacing w:line="520" w:lineRule="exact"/>
              <w:ind w:firstLine="6580" w:firstLineChars="2350"/>
              <w:rPr>
                <w:rFonts w:hint="eastAsia" w:ascii="宋体" w:cs="宋体"/>
                <w:color w:val="000000" w:themeColor="text1"/>
                <w:sz w:val="28"/>
                <w:szCs w:val="28"/>
                <w:highlight w:val="none"/>
                <w14:textFill>
                  <w14:solidFill>
                    <w14:schemeClr w14:val="tx1"/>
                  </w14:solidFill>
                </w14:textFill>
              </w:rPr>
            </w:pPr>
          </w:p>
          <w:p w14:paraId="4EDBD045">
            <w:pPr>
              <w:spacing w:line="52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（盖单位章）</w:t>
            </w:r>
          </w:p>
          <w:p w14:paraId="1DD4D9EE">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202</w:t>
            </w:r>
            <w:r>
              <w:rPr>
                <w:rFonts w:hint="eastAsia" w:ascii="宋体" w:cs="宋体"/>
                <w:color w:val="000000" w:themeColor="text1"/>
                <w:sz w:val="28"/>
                <w:szCs w:val="28"/>
                <w:highlight w:val="none"/>
                <w:lang w:val="en-US" w:eastAsia="zh-CN"/>
                <w14:textFill>
                  <w14:solidFill>
                    <w14:schemeClr w14:val="tx1"/>
                  </w14:solidFill>
                </w14:textFill>
              </w:rPr>
              <w:t>5</w:t>
            </w:r>
            <w:r>
              <w:rPr>
                <w:rFonts w:hint="eastAsia" w:ascii="宋体" w:cs="宋体"/>
                <w:color w:val="000000" w:themeColor="text1"/>
                <w:sz w:val="28"/>
                <w:szCs w:val="28"/>
                <w:highlight w:val="none"/>
                <w14:textFill>
                  <w14:solidFill>
                    <w14:schemeClr w14:val="tx1"/>
                  </w14:solidFill>
                </w14:textFill>
              </w:rPr>
              <w:t>年</w:t>
            </w:r>
            <w:r>
              <w:rPr>
                <w:rFonts w:hint="eastAsia" w:ascii="宋体" w:cs="宋体"/>
                <w:color w:val="000000" w:themeColor="text1"/>
                <w:sz w:val="28"/>
                <w:szCs w:val="28"/>
                <w:highlight w:val="none"/>
                <w:lang w:val="en-US" w:eastAsia="zh-CN"/>
                <w14:textFill>
                  <w14:solidFill>
                    <w14:schemeClr w14:val="tx1"/>
                  </w14:solidFill>
                </w14:textFill>
              </w:rPr>
              <w:t>10</w:t>
            </w:r>
            <w:r>
              <w:rPr>
                <w:rFonts w:hint="eastAsia" w:ascii="宋体" w:cs="宋体"/>
                <w:color w:val="000000" w:themeColor="text1"/>
                <w:sz w:val="28"/>
                <w:szCs w:val="28"/>
                <w:highlight w:val="none"/>
                <w14:textFill>
                  <w14:solidFill>
                    <w14:schemeClr w14:val="tx1"/>
                  </w14:solidFill>
                </w14:textFill>
              </w:rPr>
              <w:t>月</w:t>
            </w:r>
          </w:p>
        </w:tc>
      </w:tr>
      <w:bookmarkEnd w:id="0"/>
    </w:tbl>
    <w:p w14:paraId="06F58E31">
      <w:pPr>
        <w:rPr>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2A13">
    <w:pPr>
      <w:pStyle w:val="26"/>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5838">
    <w:pPr>
      <w:pStyle w:val="26"/>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4909F532">
    <w:pPr>
      <w:pStyle w:val="2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7B6C">
    <w:pPr>
      <w:pStyle w:val="26"/>
      <w:framePr w:wrap="around" w:vAnchor="text" w:hAnchor="margin" w:xAlign="center" w:y="1"/>
      <w:tabs>
        <w:tab w:val="clear" w:pos="4153"/>
        <w:tab w:val="clear" w:pos="8306"/>
      </w:tabs>
      <w:rPr>
        <w:rStyle w:val="41"/>
        <w:rFonts w:hint="eastAsia"/>
      </w:rPr>
    </w:pPr>
  </w:p>
  <w:p w14:paraId="6C40E2D4">
    <w:pPr>
      <w:pStyle w:val="26"/>
      <w:tabs>
        <w:tab w:val="clear" w:pos="4153"/>
        <w:tab w:val="clear" w:pos="8306"/>
      </w:tabs>
      <w:rPr>
        <w:rFonts w:hint="eastAsia"/>
        <w:szCs w:val="21"/>
      </w:rPr>
    </w:pPr>
  </w:p>
  <w:p w14:paraId="63FD2CFC">
    <w:pPr>
      <w:pStyle w:val="2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5200">
    <w:pPr>
      <w:pStyle w:val="26"/>
      <w:tabs>
        <w:tab w:val="clear" w:pos="4153"/>
        <w:tab w:val="clear" w:pos="8306"/>
      </w:tabs>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0D0FB6">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230D0FB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F890">
    <w:pPr>
      <w:pStyle w:val="26"/>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B525F8">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4B525F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C387">
    <w:pPr>
      <w:pStyle w:val="26"/>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9271FC">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119271FC">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AA44">
    <w:pPr>
      <w:pStyle w:val="2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F5A1">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8540">
    <w:pPr>
      <w:pStyle w:val="27"/>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6362">
    <w:pPr>
      <w:pStyle w:val="2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C70B480E"/>
    <w:multiLevelType w:val="singleLevel"/>
    <w:tmpl w:val="C70B480E"/>
    <w:lvl w:ilvl="0" w:tentative="0">
      <w:start w:val="2"/>
      <w:numFmt w:val="chineseCounting"/>
      <w:suff w:val="nothing"/>
      <w:lvlText w:val="（%1）"/>
      <w:lvlJc w:val="left"/>
      <w:rPr>
        <w:rFonts w:hint="eastAsia"/>
      </w:rPr>
    </w:lvl>
  </w:abstractNum>
  <w:abstractNum w:abstractNumId="2">
    <w:nsid w:val="00000019"/>
    <w:multiLevelType w:val="multilevel"/>
    <w:tmpl w:val="00000019"/>
    <w:lvl w:ilvl="0" w:tentative="0">
      <w:start w:val="1"/>
      <w:numFmt w:val="chineseCountingThousand"/>
      <w:pStyle w:val="120"/>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18995355"/>
    <w:multiLevelType w:val="multilevel"/>
    <w:tmpl w:val="18995355"/>
    <w:lvl w:ilvl="0" w:tentative="0">
      <w:start w:val="1"/>
      <w:numFmt w:val="decimal"/>
      <w:pStyle w:val="10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23379E"/>
    <w:multiLevelType w:val="multilevel"/>
    <w:tmpl w:val="2323379E"/>
    <w:lvl w:ilvl="0" w:tentative="0">
      <w:start w:val="1"/>
      <w:numFmt w:val="chineseCountingThousand"/>
      <w:pStyle w:val="34"/>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57717"/>
    <w:multiLevelType w:val="multilevel"/>
    <w:tmpl w:val="26857717"/>
    <w:lvl w:ilvl="0" w:tentative="0">
      <w:start w:val="1"/>
      <w:numFmt w:val="chineseCountingThousand"/>
      <w:pStyle w:val="103"/>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F1D7D26"/>
    <w:multiLevelType w:val="multilevel"/>
    <w:tmpl w:val="6F1D7D26"/>
    <w:lvl w:ilvl="0" w:tentative="0">
      <w:start w:val="1"/>
      <w:numFmt w:val="decimal"/>
      <w:pStyle w:val="29"/>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4"/>
  </w:num>
  <w:num w:numId="5">
    <w:abstractNumId w:val="5"/>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3AD7"/>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7743"/>
    <w:rsid w:val="05072DB3"/>
    <w:rsid w:val="051E0804"/>
    <w:rsid w:val="055C132D"/>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7443"/>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82EF0"/>
    <w:rsid w:val="0C7B0EF4"/>
    <w:rsid w:val="0C7D0C73"/>
    <w:rsid w:val="0C8E44C1"/>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2FBB"/>
    <w:rsid w:val="13C44C6D"/>
    <w:rsid w:val="13F53078"/>
    <w:rsid w:val="13FD017F"/>
    <w:rsid w:val="1400703C"/>
    <w:rsid w:val="14024E31"/>
    <w:rsid w:val="140B464A"/>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AC459E"/>
    <w:rsid w:val="16BB08D6"/>
    <w:rsid w:val="16C33CD0"/>
    <w:rsid w:val="16C86EEE"/>
    <w:rsid w:val="16CF74AC"/>
    <w:rsid w:val="16D62899"/>
    <w:rsid w:val="16D86AD9"/>
    <w:rsid w:val="16E24DAF"/>
    <w:rsid w:val="16E478E9"/>
    <w:rsid w:val="16F21AF1"/>
    <w:rsid w:val="16F45869"/>
    <w:rsid w:val="17025136"/>
    <w:rsid w:val="17080CB3"/>
    <w:rsid w:val="17104E33"/>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8D3DC1"/>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825A9"/>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4029BB"/>
    <w:rsid w:val="29683511"/>
    <w:rsid w:val="296D1EE4"/>
    <w:rsid w:val="29944EB8"/>
    <w:rsid w:val="299C4433"/>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E3714"/>
    <w:rsid w:val="2BBF02A4"/>
    <w:rsid w:val="2BD24D2D"/>
    <w:rsid w:val="2BDE71AB"/>
    <w:rsid w:val="2BEE51CA"/>
    <w:rsid w:val="2BF8505C"/>
    <w:rsid w:val="2C3B319A"/>
    <w:rsid w:val="2C3C1A6A"/>
    <w:rsid w:val="2C540D91"/>
    <w:rsid w:val="2C6537E2"/>
    <w:rsid w:val="2C6C7279"/>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BB358E"/>
    <w:rsid w:val="2FCB7EDC"/>
    <w:rsid w:val="2FD951A4"/>
    <w:rsid w:val="2FE60F0B"/>
    <w:rsid w:val="2FF150C3"/>
    <w:rsid w:val="2FFE3400"/>
    <w:rsid w:val="301B0290"/>
    <w:rsid w:val="303C4D07"/>
    <w:rsid w:val="30647164"/>
    <w:rsid w:val="306C3ED5"/>
    <w:rsid w:val="306C6C6A"/>
    <w:rsid w:val="306D3F93"/>
    <w:rsid w:val="30711C4D"/>
    <w:rsid w:val="308A649E"/>
    <w:rsid w:val="308E5A68"/>
    <w:rsid w:val="30A2226B"/>
    <w:rsid w:val="30BB2AFC"/>
    <w:rsid w:val="30C22649"/>
    <w:rsid w:val="30D90D23"/>
    <w:rsid w:val="30DC08E6"/>
    <w:rsid w:val="30E97669"/>
    <w:rsid w:val="312E022B"/>
    <w:rsid w:val="314221E6"/>
    <w:rsid w:val="314A45AB"/>
    <w:rsid w:val="314D7BF8"/>
    <w:rsid w:val="31534D0D"/>
    <w:rsid w:val="317118EE"/>
    <w:rsid w:val="318555E4"/>
    <w:rsid w:val="318A3760"/>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91BA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E54418"/>
    <w:rsid w:val="33F07509"/>
    <w:rsid w:val="33F627C9"/>
    <w:rsid w:val="341A5E10"/>
    <w:rsid w:val="34272982"/>
    <w:rsid w:val="342804A8"/>
    <w:rsid w:val="343C7EFD"/>
    <w:rsid w:val="34472085"/>
    <w:rsid w:val="34572B3B"/>
    <w:rsid w:val="3474193F"/>
    <w:rsid w:val="347A4AA6"/>
    <w:rsid w:val="34BA5036"/>
    <w:rsid w:val="34BC5AFA"/>
    <w:rsid w:val="34D337DA"/>
    <w:rsid w:val="34D6600F"/>
    <w:rsid w:val="34EE34A0"/>
    <w:rsid w:val="34FA7F15"/>
    <w:rsid w:val="34FB24F0"/>
    <w:rsid w:val="352930DB"/>
    <w:rsid w:val="353B59DD"/>
    <w:rsid w:val="35534E88"/>
    <w:rsid w:val="355A14CA"/>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F02478"/>
    <w:rsid w:val="390239BE"/>
    <w:rsid w:val="39180C1C"/>
    <w:rsid w:val="392A1B36"/>
    <w:rsid w:val="392A34F7"/>
    <w:rsid w:val="392A4E38"/>
    <w:rsid w:val="392E20B7"/>
    <w:rsid w:val="393A6E69"/>
    <w:rsid w:val="39675500"/>
    <w:rsid w:val="396B1563"/>
    <w:rsid w:val="39754190"/>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A1177A"/>
    <w:rsid w:val="3ABC194A"/>
    <w:rsid w:val="3AF37A62"/>
    <w:rsid w:val="3AF61300"/>
    <w:rsid w:val="3AFB6916"/>
    <w:rsid w:val="3AFD73E8"/>
    <w:rsid w:val="3B381919"/>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C367A"/>
    <w:rsid w:val="3DB039E8"/>
    <w:rsid w:val="3DC01751"/>
    <w:rsid w:val="3DCF2188"/>
    <w:rsid w:val="3DD1570D"/>
    <w:rsid w:val="3DDE7492"/>
    <w:rsid w:val="3DF2026B"/>
    <w:rsid w:val="3DF80EEB"/>
    <w:rsid w:val="3DFA1107"/>
    <w:rsid w:val="3DFF04CC"/>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5E1222"/>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3606C6"/>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C1214"/>
    <w:rsid w:val="47021DBA"/>
    <w:rsid w:val="470B38B4"/>
    <w:rsid w:val="471F2FD5"/>
    <w:rsid w:val="475D3DAD"/>
    <w:rsid w:val="479C5383"/>
    <w:rsid w:val="479F646B"/>
    <w:rsid w:val="47A56FB4"/>
    <w:rsid w:val="47AD7CF1"/>
    <w:rsid w:val="47B70069"/>
    <w:rsid w:val="47C73D3A"/>
    <w:rsid w:val="47D67F88"/>
    <w:rsid w:val="4803505C"/>
    <w:rsid w:val="480831B5"/>
    <w:rsid w:val="480D66CD"/>
    <w:rsid w:val="480F105A"/>
    <w:rsid w:val="48194880"/>
    <w:rsid w:val="482849BA"/>
    <w:rsid w:val="483D056E"/>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D3F70"/>
    <w:rsid w:val="4A103FF4"/>
    <w:rsid w:val="4A1277D9"/>
    <w:rsid w:val="4A5D0A54"/>
    <w:rsid w:val="4A666565"/>
    <w:rsid w:val="4A7B66E4"/>
    <w:rsid w:val="4A7D5113"/>
    <w:rsid w:val="4A7F4FCB"/>
    <w:rsid w:val="4A812A30"/>
    <w:rsid w:val="4A89523C"/>
    <w:rsid w:val="4AB019AF"/>
    <w:rsid w:val="4AC54E91"/>
    <w:rsid w:val="4AD5154D"/>
    <w:rsid w:val="4AEA3364"/>
    <w:rsid w:val="4AF73617"/>
    <w:rsid w:val="4B101F6A"/>
    <w:rsid w:val="4B49722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4972AB"/>
    <w:rsid w:val="5373169B"/>
    <w:rsid w:val="53747D16"/>
    <w:rsid w:val="5378497F"/>
    <w:rsid w:val="53C6061F"/>
    <w:rsid w:val="53E544DB"/>
    <w:rsid w:val="53F046E7"/>
    <w:rsid w:val="53F82EC8"/>
    <w:rsid w:val="540B1521"/>
    <w:rsid w:val="5415227F"/>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7473DD"/>
    <w:rsid w:val="57911484"/>
    <w:rsid w:val="57BE00CF"/>
    <w:rsid w:val="57C33EC0"/>
    <w:rsid w:val="57CF104F"/>
    <w:rsid w:val="57CF47C9"/>
    <w:rsid w:val="57D939CD"/>
    <w:rsid w:val="57FB5468"/>
    <w:rsid w:val="57FF0946"/>
    <w:rsid w:val="58075B26"/>
    <w:rsid w:val="580A355F"/>
    <w:rsid w:val="580E4D1D"/>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8156DE"/>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926FC"/>
    <w:rsid w:val="5BF54320"/>
    <w:rsid w:val="5C1633F6"/>
    <w:rsid w:val="5C246971"/>
    <w:rsid w:val="5C4867F4"/>
    <w:rsid w:val="5C6737F1"/>
    <w:rsid w:val="5C9C18B0"/>
    <w:rsid w:val="5C9E7970"/>
    <w:rsid w:val="5CB36BF9"/>
    <w:rsid w:val="5CBD1826"/>
    <w:rsid w:val="5CC37F37"/>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A7453C"/>
    <w:rsid w:val="5EAE0F71"/>
    <w:rsid w:val="5ED27BE1"/>
    <w:rsid w:val="5ED35BB4"/>
    <w:rsid w:val="5ED75612"/>
    <w:rsid w:val="5EE25574"/>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602676E1"/>
    <w:rsid w:val="602E4F74"/>
    <w:rsid w:val="603418A5"/>
    <w:rsid w:val="60366D51"/>
    <w:rsid w:val="604D4C6F"/>
    <w:rsid w:val="60936B26"/>
    <w:rsid w:val="6098238E"/>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6478C2"/>
    <w:rsid w:val="626529F4"/>
    <w:rsid w:val="626C4988"/>
    <w:rsid w:val="62854B94"/>
    <w:rsid w:val="62A47FD8"/>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0E33AA"/>
    <w:rsid w:val="6717038D"/>
    <w:rsid w:val="671706D3"/>
    <w:rsid w:val="672F48CC"/>
    <w:rsid w:val="6730396A"/>
    <w:rsid w:val="67346B89"/>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85CC0"/>
    <w:rsid w:val="6AF7771D"/>
    <w:rsid w:val="6B036F9E"/>
    <w:rsid w:val="6B311795"/>
    <w:rsid w:val="6B4D0219"/>
    <w:rsid w:val="6BA17867"/>
    <w:rsid w:val="6BA8544F"/>
    <w:rsid w:val="6BB141CE"/>
    <w:rsid w:val="6BBA58AE"/>
    <w:rsid w:val="6BBE4C73"/>
    <w:rsid w:val="6BD45513"/>
    <w:rsid w:val="6BEF0C80"/>
    <w:rsid w:val="6BF41DBA"/>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B3108B"/>
    <w:rsid w:val="6DBD5004"/>
    <w:rsid w:val="6DC63E68"/>
    <w:rsid w:val="6DCF4F15"/>
    <w:rsid w:val="6DD447A6"/>
    <w:rsid w:val="6DDE4DD4"/>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672B20"/>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93477"/>
    <w:rsid w:val="76063D02"/>
    <w:rsid w:val="7631116A"/>
    <w:rsid w:val="76312C11"/>
    <w:rsid w:val="76345B3A"/>
    <w:rsid w:val="764346F2"/>
    <w:rsid w:val="76454D95"/>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61305"/>
    <w:rsid w:val="784974F5"/>
    <w:rsid w:val="784B19A6"/>
    <w:rsid w:val="78540E39"/>
    <w:rsid w:val="78681083"/>
    <w:rsid w:val="788B24B1"/>
    <w:rsid w:val="789079E5"/>
    <w:rsid w:val="7891016B"/>
    <w:rsid w:val="78A04C44"/>
    <w:rsid w:val="78C338C8"/>
    <w:rsid w:val="78E72828"/>
    <w:rsid w:val="78EA7B9F"/>
    <w:rsid w:val="79224F56"/>
    <w:rsid w:val="79336CA0"/>
    <w:rsid w:val="793A7966"/>
    <w:rsid w:val="793B1C09"/>
    <w:rsid w:val="7947274B"/>
    <w:rsid w:val="794B3FEA"/>
    <w:rsid w:val="79BA79F3"/>
    <w:rsid w:val="79BB215E"/>
    <w:rsid w:val="79D87646"/>
    <w:rsid w:val="79E82BC7"/>
    <w:rsid w:val="79EB6979"/>
    <w:rsid w:val="7A1067EC"/>
    <w:rsid w:val="7A192CE7"/>
    <w:rsid w:val="7A2E2EA3"/>
    <w:rsid w:val="7A3007C8"/>
    <w:rsid w:val="7A3231AD"/>
    <w:rsid w:val="7A4A77F3"/>
    <w:rsid w:val="7A5A72EE"/>
    <w:rsid w:val="7A844288"/>
    <w:rsid w:val="7AA82540"/>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BF4208"/>
    <w:rsid w:val="7BC0312E"/>
    <w:rsid w:val="7BC40083"/>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9932BE"/>
    <w:rsid w:val="7C9B286D"/>
    <w:rsid w:val="7C9B7FF0"/>
    <w:rsid w:val="7CB53251"/>
    <w:rsid w:val="7CB62D19"/>
    <w:rsid w:val="7CD93821"/>
    <w:rsid w:val="7CD95805"/>
    <w:rsid w:val="7D13314E"/>
    <w:rsid w:val="7D230DDA"/>
    <w:rsid w:val="7D365DD8"/>
    <w:rsid w:val="7D3A23FC"/>
    <w:rsid w:val="7D625FC7"/>
    <w:rsid w:val="7D650CA3"/>
    <w:rsid w:val="7D6A0419"/>
    <w:rsid w:val="7D6B7727"/>
    <w:rsid w:val="7D7A5D33"/>
    <w:rsid w:val="7D7B0C16"/>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8"/>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after="64" w:line="320" w:lineRule="auto"/>
      <w:outlineLvl w:val="6"/>
    </w:pPr>
    <w:rPr>
      <w:b/>
      <w:bCs/>
      <w:sz w:val="24"/>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2"/>
    <w:autoRedefine/>
    <w:qFormat/>
    <w:uiPriority w:val="0"/>
    <w:pPr>
      <w:jc w:val="left"/>
    </w:pPr>
  </w:style>
  <w:style w:type="paragraph" w:styleId="13">
    <w:name w:val="Body Text"/>
    <w:basedOn w:val="1"/>
    <w:next w:val="14"/>
    <w:autoRedefine/>
    <w:semiHidden/>
    <w:qFormat/>
    <w:uiPriority w:val="0"/>
    <w:pPr>
      <w:spacing w:after="120"/>
    </w:pPr>
  </w:style>
  <w:style w:type="paragraph" w:styleId="14">
    <w:name w:val="Body Text First Indent"/>
    <w:basedOn w:val="13"/>
    <w:next w:val="15"/>
    <w:qFormat/>
    <w:uiPriority w:val="0"/>
    <w:pPr>
      <w:ind w:firstLine="420" w:firstLineChars="100"/>
    </w:pPr>
    <w:rPr>
      <w:rFonts w:ascii="Times New Roman" w:hAnsi="Times New Roman" w:eastAsia="宋体" w:cs="Times New Roman"/>
    </w:rPr>
  </w:style>
  <w:style w:type="paragraph" w:styleId="15">
    <w:name w:val="toc 6"/>
    <w:basedOn w:val="1"/>
    <w:next w:val="1"/>
    <w:qFormat/>
    <w:uiPriority w:val="0"/>
    <w:pPr>
      <w:autoSpaceDE w:val="0"/>
      <w:autoSpaceDN w:val="0"/>
      <w:ind w:left="1700"/>
      <w:jc w:val="left"/>
      <w:textAlignment w:val="baseline"/>
    </w:pPr>
    <w:rPr>
      <w:kern w:val="0"/>
      <w:sz w:val="18"/>
      <w:szCs w:val="18"/>
    </w:rPr>
  </w:style>
  <w:style w:type="paragraph" w:styleId="16">
    <w:name w:val="Body Text Indent"/>
    <w:basedOn w:val="1"/>
    <w:next w:val="17"/>
    <w:link w:val="55"/>
    <w:autoRedefine/>
    <w:qFormat/>
    <w:uiPriority w:val="0"/>
    <w:pPr>
      <w:spacing w:after="120"/>
      <w:ind w:left="200" w:leftChars="200"/>
    </w:pPr>
  </w:style>
  <w:style w:type="paragraph" w:styleId="17">
    <w:name w:val="envelope return"/>
    <w:basedOn w:val="1"/>
    <w:autoRedefine/>
    <w:qFormat/>
    <w:uiPriority w:val="0"/>
    <w:pPr>
      <w:snapToGrid w:val="0"/>
    </w:pPr>
    <w:rPr>
      <w:rFonts w:ascii="Arial" w:hAnsi="Arial"/>
    </w:rPr>
  </w:style>
  <w:style w:type="paragraph" w:styleId="18">
    <w:name w:val="List 2"/>
    <w:basedOn w:val="1"/>
    <w:unhideWhenUsed/>
    <w:qFormat/>
    <w:uiPriority w:val="99"/>
    <w:pPr>
      <w:ind w:left="840" w:hanging="420"/>
    </w:pPr>
    <w:rPr>
      <w:sz w:val="24"/>
      <w:szCs w:val="20"/>
    </w:rPr>
  </w:style>
  <w:style w:type="paragraph" w:styleId="19">
    <w:name w:val="index 4"/>
    <w:basedOn w:val="1"/>
    <w:next w:val="1"/>
    <w:qFormat/>
    <w:uiPriority w:val="0"/>
    <w:pPr>
      <w:ind w:left="600" w:leftChars="600"/>
    </w:pPr>
    <w:rPr>
      <w:rFonts w:ascii="Times New Roman" w:hAnsi="Times New Roman" w:eastAsia="宋体" w:cs="Times New Roman"/>
    </w:rPr>
  </w:style>
  <w:style w:type="paragraph" w:styleId="20">
    <w:name w:val="toc 3"/>
    <w:basedOn w:val="1"/>
    <w:next w:val="1"/>
    <w:autoRedefine/>
    <w:qFormat/>
    <w:uiPriority w:val="39"/>
    <w:pPr>
      <w:tabs>
        <w:tab w:val="right" w:leader="dot" w:pos="9288"/>
      </w:tabs>
      <w:ind w:left="400" w:leftChars="400"/>
    </w:pPr>
    <w:rPr>
      <w:rFonts w:ascii="宋体"/>
    </w:rPr>
  </w:style>
  <w:style w:type="paragraph" w:styleId="21">
    <w:name w:val="Plain Text"/>
    <w:basedOn w:val="1"/>
    <w:next w:val="1"/>
    <w:link w:val="63"/>
    <w:qFormat/>
    <w:uiPriority w:val="99"/>
    <w:rPr>
      <w:rFonts w:ascii="宋体"/>
      <w:color w:val="000000"/>
      <w:szCs w:val="20"/>
      <w:u w:val="none" w:color="000000"/>
    </w:rPr>
  </w:style>
  <w:style w:type="paragraph" w:styleId="22">
    <w:name w:val="Date"/>
    <w:basedOn w:val="1"/>
    <w:next w:val="1"/>
    <w:link w:val="64"/>
    <w:autoRedefine/>
    <w:qFormat/>
    <w:uiPriority w:val="0"/>
    <w:rPr>
      <w:rFonts w:ascii="Arial" w:hAnsi="Arial" w:eastAsia="仿宋_GB2312"/>
      <w:color w:val="000000"/>
      <w:sz w:val="32"/>
      <w:szCs w:val="20"/>
      <w:u w:val="none" w:color="000000"/>
    </w:rPr>
  </w:style>
  <w:style w:type="paragraph" w:styleId="23">
    <w:name w:val="Body Text Indent 2"/>
    <w:basedOn w:val="1"/>
    <w:link w:val="65"/>
    <w:autoRedefine/>
    <w:qFormat/>
    <w:uiPriority w:val="0"/>
    <w:pPr>
      <w:spacing w:after="120" w:line="480" w:lineRule="auto"/>
      <w:ind w:left="420" w:leftChars="200"/>
    </w:pPr>
  </w:style>
  <w:style w:type="paragraph" w:styleId="24">
    <w:name w:val="endnote text"/>
    <w:basedOn w:val="1"/>
    <w:autoRedefine/>
    <w:qFormat/>
    <w:uiPriority w:val="99"/>
    <w:pPr>
      <w:snapToGrid w:val="0"/>
    </w:pPr>
    <w:rPr>
      <w:rFonts w:ascii="仿宋" w:hAnsi="仿宋"/>
    </w:rPr>
  </w:style>
  <w:style w:type="paragraph" w:styleId="25">
    <w:name w:val="Balloon Text"/>
    <w:basedOn w:val="1"/>
    <w:link w:val="66"/>
    <w:autoRedefine/>
    <w:qFormat/>
    <w:uiPriority w:val="0"/>
    <w:rPr>
      <w:sz w:val="18"/>
      <w:szCs w:val="18"/>
    </w:rPr>
  </w:style>
  <w:style w:type="paragraph" w:styleId="26">
    <w:name w:val="footer"/>
    <w:basedOn w:val="1"/>
    <w:link w:val="67"/>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30">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31">
    <w:name w:val="toc 2"/>
    <w:basedOn w:val="1"/>
    <w:next w:val="1"/>
    <w:qFormat/>
    <w:uiPriority w:val="39"/>
    <w:pPr>
      <w:ind w:left="200" w:leftChars="200"/>
    </w:pPr>
  </w:style>
  <w:style w:type="paragraph" w:styleId="32">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autoRedefine/>
    <w:qFormat/>
    <w:uiPriority w:val="0"/>
    <w:pPr>
      <w:jc w:val="center"/>
    </w:pPr>
    <w:rPr>
      <w:rFonts w:ascii="Arial" w:hAnsi="Arial" w:eastAsia="Arial" w:cs="Arial"/>
      <w:b/>
      <w:bCs/>
      <w:sz w:val="28"/>
    </w:rPr>
  </w:style>
  <w:style w:type="paragraph" w:styleId="34">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5">
    <w:name w:val="annotation subject"/>
    <w:basedOn w:val="12"/>
    <w:next w:val="12"/>
    <w:link w:val="69"/>
    <w:autoRedefine/>
    <w:qFormat/>
    <w:uiPriority w:val="0"/>
    <w:rPr>
      <w:b/>
      <w:bCs/>
    </w:rPr>
  </w:style>
  <w:style w:type="paragraph" w:styleId="36">
    <w:name w:val="Body Text First Indent 2"/>
    <w:basedOn w:val="16"/>
    <w:next w:val="1"/>
    <w:link w:val="56"/>
    <w:autoRedefine/>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rPr>
  </w:style>
  <w:style w:type="character" w:styleId="41">
    <w:name w:val="page number"/>
    <w:autoRedefine/>
    <w:qFormat/>
    <w:uiPriority w:val="0"/>
  </w:style>
  <w:style w:type="character" w:styleId="42">
    <w:name w:val="FollowedHyperlink"/>
    <w:autoRedefine/>
    <w:qFormat/>
    <w:uiPriority w:val="0"/>
    <w:rPr>
      <w:color w:val="333333"/>
      <w:u w:val="none"/>
    </w:rPr>
  </w:style>
  <w:style w:type="character" w:styleId="43">
    <w:name w:val="Emphasis"/>
    <w:autoRedefine/>
    <w:qFormat/>
    <w:uiPriority w:val="20"/>
    <w:rPr>
      <w:i/>
      <w:iCs/>
    </w:rPr>
  </w:style>
  <w:style w:type="character" w:styleId="44">
    <w:name w:val="HTML Definition"/>
    <w:autoRedefine/>
    <w:qFormat/>
    <w:uiPriority w:val="0"/>
  </w:style>
  <w:style w:type="character" w:styleId="45">
    <w:name w:val="HTML Typewriter"/>
    <w:autoRedefine/>
    <w:qFormat/>
    <w:uiPriority w:val="0"/>
    <w:rPr>
      <w:rFonts w:ascii="monospace" w:hAnsi="monospace" w:eastAsia="monospace" w:cs="monospace"/>
      <w:sz w:val="20"/>
    </w:rPr>
  </w:style>
  <w:style w:type="character" w:styleId="46">
    <w:name w:val="HTML Acronym"/>
    <w:autoRedefine/>
    <w:qFormat/>
    <w:uiPriority w:val="0"/>
  </w:style>
  <w:style w:type="character" w:styleId="47">
    <w:name w:val="HTML Variable"/>
    <w:autoRedefine/>
    <w:qFormat/>
    <w:uiPriority w:val="0"/>
  </w:style>
  <w:style w:type="character" w:styleId="48">
    <w:name w:val="Hyperlink"/>
    <w:autoRedefine/>
    <w:qFormat/>
    <w:uiPriority w:val="99"/>
    <w:rPr>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autoRedefin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autoRedefine/>
    <w:qFormat/>
    <w:uiPriority w:val="0"/>
    <w:rPr>
      <w:rFonts w:hint="default" w:ascii="monospace" w:hAnsi="monospace" w:eastAsia="monospace" w:cs="monospace"/>
    </w:rPr>
  </w:style>
  <w:style w:type="paragraph" w:customStyle="1" w:styleId="54">
    <w:name w:val="正文文字 8"/>
    <w:basedOn w:val="1"/>
    <w:next w:val="1"/>
    <w:autoRedefine/>
    <w:qFormat/>
    <w:uiPriority w:val="0"/>
    <w:pPr>
      <w:ind w:left="240"/>
    </w:pPr>
    <w:rPr>
      <w:sz w:val="16"/>
    </w:rPr>
  </w:style>
  <w:style w:type="character" w:customStyle="1" w:styleId="55">
    <w:name w:val="正文文本缩进 字符"/>
    <w:link w:val="16"/>
    <w:autoRedefine/>
    <w:qFormat/>
    <w:uiPriority w:val="0"/>
    <w:rPr>
      <w:kern w:val="2"/>
      <w:sz w:val="21"/>
      <w:szCs w:val="24"/>
    </w:rPr>
  </w:style>
  <w:style w:type="character" w:customStyle="1" w:styleId="56">
    <w:name w:val="正文文本首行缩进 2 字符"/>
    <w:link w:val="36"/>
    <w:autoRedefine/>
    <w:qFormat/>
    <w:uiPriority w:val="0"/>
  </w:style>
  <w:style w:type="character" w:customStyle="1" w:styleId="57">
    <w:name w:val="标题 1 字符"/>
    <w:link w:val="2"/>
    <w:autoRedefine/>
    <w:qFormat/>
    <w:uiPriority w:val="0"/>
    <w:rPr>
      <w:b/>
      <w:bCs/>
      <w:kern w:val="44"/>
      <w:sz w:val="44"/>
      <w:szCs w:val="44"/>
    </w:rPr>
  </w:style>
  <w:style w:type="character" w:customStyle="1" w:styleId="58">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9">
    <w:name w:val="标题 5 字符"/>
    <w:link w:val="6"/>
    <w:autoRedefine/>
    <w:semiHidden/>
    <w:qFormat/>
    <w:uiPriority w:val="0"/>
    <w:rPr>
      <w:b/>
      <w:bCs/>
      <w:kern w:val="2"/>
      <w:sz w:val="28"/>
      <w:szCs w:val="28"/>
    </w:rPr>
  </w:style>
  <w:style w:type="character" w:customStyle="1" w:styleId="60">
    <w:name w:val="标题 6 字符"/>
    <w:link w:val="7"/>
    <w:autoRedefine/>
    <w:semiHidden/>
    <w:qFormat/>
    <w:uiPriority w:val="0"/>
    <w:rPr>
      <w:rFonts w:ascii="Cambria" w:hAnsi="Cambria" w:eastAsia="宋体" w:cs="Times New Roman"/>
      <w:b/>
      <w:bCs/>
      <w:kern w:val="2"/>
      <w:sz w:val="24"/>
      <w:szCs w:val="24"/>
    </w:rPr>
  </w:style>
  <w:style w:type="character" w:customStyle="1" w:styleId="61">
    <w:name w:val="标题 7 字符"/>
    <w:link w:val="8"/>
    <w:autoRedefine/>
    <w:semiHidden/>
    <w:qFormat/>
    <w:uiPriority w:val="0"/>
    <w:rPr>
      <w:b/>
      <w:bCs/>
      <w:kern w:val="2"/>
      <w:sz w:val="24"/>
      <w:szCs w:val="24"/>
    </w:rPr>
  </w:style>
  <w:style w:type="character" w:customStyle="1" w:styleId="62">
    <w:name w:val="批注文字 字符"/>
    <w:link w:val="12"/>
    <w:autoRedefine/>
    <w:qFormat/>
    <w:uiPriority w:val="0"/>
    <w:rPr>
      <w:kern w:val="2"/>
      <w:sz w:val="21"/>
      <w:szCs w:val="24"/>
    </w:rPr>
  </w:style>
  <w:style w:type="character" w:customStyle="1" w:styleId="63">
    <w:name w:val="纯文本 字符"/>
    <w:link w:val="21"/>
    <w:autoRedefine/>
    <w:qFormat/>
    <w:uiPriority w:val="99"/>
    <w:rPr>
      <w:rFonts w:ascii="宋体" w:eastAsia="宋体"/>
      <w:color w:val="000000"/>
      <w:kern w:val="2"/>
      <w:sz w:val="21"/>
      <w:u w:val="none" w:color="000000"/>
      <w:lang w:val="en-US" w:eastAsia="zh-CN" w:bidi="ar-SA"/>
    </w:rPr>
  </w:style>
  <w:style w:type="character" w:customStyle="1" w:styleId="64">
    <w:name w:val="日期 字符"/>
    <w:link w:val="22"/>
    <w:autoRedefine/>
    <w:qFormat/>
    <w:uiPriority w:val="0"/>
    <w:rPr>
      <w:rFonts w:ascii="Arial" w:hAnsi="Arial" w:eastAsia="仿宋_GB2312"/>
      <w:color w:val="000000"/>
      <w:kern w:val="2"/>
      <w:sz w:val="32"/>
      <w:u w:val="none" w:color="000000"/>
    </w:rPr>
  </w:style>
  <w:style w:type="character" w:customStyle="1" w:styleId="65">
    <w:name w:val="正文文本缩进 2 字符"/>
    <w:link w:val="23"/>
    <w:autoRedefine/>
    <w:qFormat/>
    <w:uiPriority w:val="0"/>
    <w:rPr>
      <w:kern w:val="2"/>
      <w:sz w:val="21"/>
      <w:szCs w:val="24"/>
    </w:rPr>
  </w:style>
  <w:style w:type="character" w:customStyle="1" w:styleId="66">
    <w:name w:val="批注框文本 字符"/>
    <w:link w:val="25"/>
    <w:autoRedefine/>
    <w:qFormat/>
    <w:uiPriority w:val="0"/>
    <w:rPr>
      <w:kern w:val="2"/>
      <w:sz w:val="18"/>
      <w:szCs w:val="18"/>
    </w:rPr>
  </w:style>
  <w:style w:type="character" w:customStyle="1" w:styleId="67">
    <w:name w:val="页脚 字符"/>
    <w:link w:val="26"/>
    <w:autoRedefine/>
    <w:qFormat/>
    <w:locked/>
    <w:uiPriority w:val="0"/>
    <w:rPr>
      <w:kern w:val="2"/>
      <w:sz w:val="18"/>
      <w:szCs w:val="18"/>
    </w:rPr>
  </w:style>
  <w:style w:type="character" w:customStyle="1" w:styleId="68">
    <w:name w:val="页眉 字符"/>
    <w:link w:val="27"/>
    <w:autoRedefine/>
    <w:qFormat/>
    <w:locked/>
    <w:uiPriority w:val="0"/>
    <w:rPr>
      <w:kern w:val="2"/>
      <w:sz w:val="18"/>
      <w:szCs w:val="18"/>
    </w:rPr>
  </w:style>
  <w:style w:type="character" w:customStyle="1" w:styleId="69">
    <w:name w:val="批注主题 字符"/>
    <w:link w:val="35"/>
    <w:autoRedefine/>
    <w:qFormat/>
    <w:uiPriority w:val="0"/>
    <w:rPr>
      <w:b/>
      <w:bCs/>
      <w:kern w:val="2"/>
      <w:sz w:val="21"/>
      <w:szCs w:val="24"/>
    </w:rPr>
  </w:style>
  <w:style w:type="character" w:customStyle="1" w:styleId="70">
    <w:name w:val="font121"/>
    <w:autoRedefine/>
    <w:qFormat/>
    <w:uiPriority w:val="0"/>
    <w:rPr>
      <w:rFonts w:hint="eastAsia" w:ascii="宋体" w:hAnsi="宋体" w:eastAsia="宋体" w:cs="宋体"/>
      <w:color w:val="000000"/>
      <w:sz w:val="24"/>
      <w:szCs w:val="24"/>
      <w:u w:val="none"/>
    </w:rPr>
  </w:style>
  <w:style w:type="character" w:customStyle="1" w:styleId="71">
    <w:name w:val="font141"/>
    <w:qFormat/>
    <w:uiPriority w:val="0"/>
    <w:rPr>
      <w:rFonts w:ascii="Arial" w:hAnsi="Arial" w:cs="Arial"/>
      <w:color w:val="000000"/>
      <w:sz w:val="24"/>
      <w:szCs w:val="24"/>
      <w:u w:val="none"/>
    </w:rPr>
  </w:style>
  <w:style w:type="character" w:customStyle="1" w:styleId="72">
    <w:name w:val="_37aak"/>
    <w:autoRedefine/>
    <w:qFormat/>
    <w:uiPriority w:val="0"/>
  </w:style>
  <w:style w:type="character" w:customStyle="1" w:styleId="73">
    <w:name w:val="图表 Char"/>
    <w:link w:val="74"/>
    <w:autoRedefine/>
    <w:qFormat/>
    <w:uiPriority w:val="0"/>
    <w:rPr>
      <w:kern w:val="2"/>
      <w:sz w:val="21"/>
      <w:szCs w:val="21"/>
    </w:rPr>
  </w:style>
  <w:style w:type="paragraph" w:customStyle="1" w:styleId="74">
    <w:name w:val="图表"/>
    <w:basedOn w:val="1"/>
    <w:next w:val="1"/>
    <w:link w:val="73"/>
    <w:autoRedefine/>
    <w:qFormat/>
    <w:uiPriority w:val="0"/>
    <w:pPr>
      <w:jc w:val="center"/>
    </w:pPr>
    <w:rPr>
      <w:szCs w:val="21"/>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hover4"/>
    <w:autoRedefine/>
    <w:qFormat/>
    <w:uiPriority w:val="0"/>
    <w:rPr>
      <w:color w:val="2590EB"/>
      <w:shd w:val="clear" w:color="auto" w:fill="E9F4FD"/>
    </w:rPr>
  </w:style>
  <w:style w:type="character" w:customStyle="1" w:styleId="77">
    <w:name w:val="font101"/>
    <w:autoRedefine/>
    <w:qFormat/>
    <w:uiPriority w:val="0"/>
    <w:rPr>
      <w:rFonts w:hint="eastAsia" w:ascii="宋体" w:hAnsi="宋体" w:eastAsia="宋体" w:cs="宋体"/>
      <w:color w:val="000000"/>
      <w:sz w:val="18"/>
      <w:szCs w:val="18"/>
      <w:u w:val="none"/>
    </w:rPr>
  </w:style>
  <w:style w:type="character" w:customStyle="1" w:styleId="78">
    <w:name w:val="font161"/>
    <w:autoRedefine/>
    <w:qFormat/>
    <w:uiPriority w:val="0"/>
    <w:rPr>
      <w:rFonts w:hint="eastAsia" w:ascii="宋体" w:hAnsi="宋体" w:eastAsia="宋体" w:cs="宋体"/>
      <w:b/>
      <w:bCs/>
      <w:color w:val="333333"/>
      <w:sz w:val="27"/>
      <w:szCs w:val="27"/>
      <w:u w:val="none"/>
    </w:rPr>
  </w:style>
  <w:style w:type="character" w:customStyle="1" w:styleId="79">
    <w:name w:val="first-child"/>
    <w:autoRedefine/>
    <w:qFormat/>
    <w:uiPriority w:val="0"/>
  </w:style>
  <w:style w:type="character" w:customStyle="1" w:styleId="80">
    <w:name w:val="【正文】 Char"/>
    <w:link w:val="81"/>
    <w:autoRedefine/>
    <w:qFormat/>
    <w:uiPriority w:val="0"/>
    <w:rPr>
      <w:rFonts w:cs="DokChampa"/>
      <w:kern w:val="2"/>
      <w:sz w:val="24"/>
      <w:szCs w:val="22"/>
    </w:rPr>
  </w:style>
  <w:style w:type="paragraph" w:customStyle="1" w:styleId="81">
    <w:name w:val="【正文】"/>
    <w:basedOn w:val="1"/>
    <w:link w:val="80"/>
    <w:autoRedefine/>
    <w:qFormat/>
    <w:uiPriority w:val="0"/>
    <w:pPr>
      <w:spacing w:line="360" w:lineRule="auto"/>
      <w:ind w:firstLine="480" w:firstLineChars="200"/>
    </w:pPr>
    <w:rPr>
      <w:sz w:val="24"/>
      <w:szCs w:val="22"/>
    </w:rPr>
  </w:style>
  <w:style w:type="character" w:customStyle="1" w:styleId="82">
    <w:name w:val="font131"/>
    <w:autoRedefine/>
    <w:qFormat/>
    <w:uiPriority w:val="0"/>
    <w:rPr>
      <w:rFonts w:ascii="仿宋" w:hAnsi="仿宋" w:eastAsia="仿宋" w:cs="仿宋"/>
      <w:color w:val="000000"/>
      <w:sz w:val="24"/>
      <w:szCs w:val="24"/>
      <w:u w:val="none"/>
    </w:rPr>
  </w:style>
  <w:style w:type="character" w:customStyle="1" w:styleId="83">
    <w:name w:val="font181"/>
    <w:autoRedefine/>
    <w:qFormat/>
    <w:uiPriority w:val="0"/>
    <w:rPr>
      <w:rFonts w:hint="eastAsia" w:ascii="宋体" w:hAnsi="宋体" w:eastAsia="宋体" w:cs="宋体"/>
      <w:color w:val="1A66B3"/>
      <w:sz w:val="18"/>
      <w:szCs w:val="18"/>
      <w:u w:val="none"/>
    </w:rPr>
  </w:style>
  <w:style w:type="character" w:customStyle="1" w:styleId="84">
    <w:name w:val="hover3"/>
    <w:autoRedefine/>
    <w:qFormat/>
    <w:uiPriority w:val="0"/>
  </w:style>
  <w:style w:type="character" w:customStyle="1" w:styleId="85">
    <w:name w:val="font112"/>
    <w:autoRedefine/>
    <w:qFormat/>
    <w:uiPriority w:val="0"/>
    <w:rPr>
      <w:rFonts w:ascii="Verdana" w:hAnsi="Verdana" w:cs="Verdana"/>
      <w:color w:val="000000"/>
      <w:sz w:val="18"/>
      <w:szCs w:val="18"/>
      <w:u w:val="none"/>
    </w:rPr>
  </w:style>
  <w:style w:type="character" w:customStyle="1" w:styleId="86">
    <w:name w:val="font81"/>
    <w:autoRedefine/>
    <w:qFormat/>
    <w:uiPriority w:val="0"/>
    <w:rPr>
      <w:rFonts w:hint="default" w:ascii="Verdana" w:hAnsi="Verdana" w:cs="Verdana"/>
      <w:color w:val="000000"/>
      <w:sz w:val="18"/>
      <w:szCs w:val="18"/>
      <w:u w:val="none"/>
    </w:rPr>
  </w:style>
  <w:style w:type="character" w:customStyle="1" w:styleId="87">
    <w:name w:val="hover"/>
    <w:autoRedefine/>
    <w:qFormat/>
    <w:uiPriority w:val="0"/>
    <w:rPr>
      <w:color w:val="2590EB"/>
      <w:shd w:val="clear" w:color="auto" w:fill="E9F4FD"/>
    </w:rPr>
  </w:style>
  <w:style w:type="character" w:customStyle="1" w:styleId="88">
    <w:name w:val="font41"/>
    <w:autoRedefine/>
    <w:qFormat/>
    <w:uiPriority w:val="0"/>
    <w:rPr>
      <w:rFonts w:hint="eastAsia" w:ascii="宋体" w:hAnsi="宋体" w:eastAsia="宋体" w:cs="宋体"/>
      <w:color w:val="000000"/>
      <w:sz w:val="22"/>
      <w:szCs w:val="22"/>
      <w:u w:val="none"/>
    </w:rPr>
  </w:style>
  <w:style w:type="character" w:customStyle="1" w:styleId="89">
    <w:name w:val="hover2"/>
    <w:autoRedefine/>
    <w:qFormat/>
    <w:uiPriority w:val="0"/>
    <w:rPr>
      <w:color w:val="2590EB"/>
    </w:rPr>
  </w:style>
  <w:style w:type="character" w:customStyle="1" w:styleId="90">
    <w:name w:val="hover1"/>
    <w:autoRedefine/>
    <w:qFormat/>
    <w:uiPriority w:val="0"/>
    <w:rPr>
      <w:color w:val="2590EB"/>
    </w:rPr>
  </w:style>
  <w:style w:type="character" w:customStyle="1" w:styleId="91">
    <w:name w:val="first-child1"/>
    <w:autoRedefine/>
    <w:qFormat/>
    <w:uiPriority w:val="0"/>
  </w:style>
  <w:style w:type="character" w:customStyle="1" w:styleId="92">
    <w:name w:val="selected"/>
    <w:autoRedefine/>
    <w:qFormat/>
    <w:uiPriority w:val="0"/>
    <w:rPr>
      <w:shd w:val="clear" w:color="auto" w:fill="B00006"/>
    </w:rPr>
  </w:style>
  <w:style w:type="character" w:customStyle="1" w:styleId="93">
    <w:name w:val="gpa"/>
    <w:autoRedefine/>
    <w:qFormat/>
    <w:uiPriority w:val="0"/>
    <w:rPr>
      <w:rFonts w:ascii="Arial" w:hAnsi="Arial" w:cs="Arial"/>
      <w:sz w:val="15"/>
      <w:szCs w:val="15"/>
    </w:rPr>
  </w:style>
  <w:style w:type="character" w:customStyle="1" w:styleId="94">
    <w:name w:val="apple-converted-space"/>
    <w:autoRedefine/>
    <w:qFormat/>
    <w:uiPriority w:val="0"/>
  </w:style>
  <w:style w:type="character" w:customStyle="1" w:styleId="95">
    <w:name w:val="列出段落 Char"/>
    <w:link w:val="96"/>
    <w:autoRedefine/>
    <w:qFormat/>
    <w:locked/>
    <w:uiPriority w:val="0"/>
    <w:rPr>
      <w:rFonts w:ascii="Calibri" w:hAnsi="Calibri" w:eastAsia="宋体"/>
      <w:kern w:val="2"/>
      <w:sz w:val="21"/>
      <w:szCs w:val="22"/>
      <w:lang w:val="en-US" w:eastAsia="zh-CN" w:bidi="ar-SA"/>
    </w:rPr>
  </w:style>
  <w:style w:type="paragraph" w:customStyle="1" w:styleId="96">
    <w:name w:val="List Paragraph1"/>
    <w:basedOn w:val="1"/>
    <w:link w:val="95"/>
    <w:autoRedefine/>
    <w:qFormat/>
    <w:uiPriority w:val="0"/>
    <w:pPr>
      <w:spacing w:line="312" w:lineRule="auto"/>
      <w:ind w:firstLine="420" w:firstLineChars="200"/>
    </w:pPr>
    <w:rPr>
      <w:rFonts w:ascii="Calibri" w:hAnsi="Calibri"/>
      <w:szCs w:val="22"/>
    </w:rPr>
  </w:style>
  <w:style w:type="character" w:customStyle="1" w:styleId="97">
    <w:name w:val="displayarti"/>
    <w:autoRedefine/>
    <w:qFormat/>
    <w:uiPriority w:val="0"/>
    <w:rPr>
      <w:color w:val="FFFFFF"/>
      <w:shd w:val="clear" w:color="auto" w:fill="A00000"/>
    </w:rPr>
  </w:style>
  <w:style w:type="character" w:customStyle="1" w:styleId="98">
    <w:name w:val="正文首行缩进 2 Char1"/>
    <w:autoRedefine/>
    <w:qFormat/>
    <w:uiPriority w:val="0"/>
  </w:style>
  <w:style w:type="character" w:customStyle="1" w:styleId="99">
    <w:name w:val="layui-this"/>
    <w:autoRedefine/>
    <w:qFormat/>
    <w:uiPriority w:val="0"/>
    <w:rPr>
      <w:bdr w:val="single" w:color="EEEEEE" w:sz="6" w:space="0"/>
      <w:shd w:val="clear" w:color="auto" w:fill="FFFFFF"/>
    </w:rPr>
  </w:style>
  <w:style w:type="character" w:customStyle="1" w:styleId="100">
    <w:name w:val="font151"/>
    <w:autoRedefine/>
    <w:qFormat/>
    <w:uiPriority w:val="0"/>
    <w:rPr>
      <w:rFonts w:hint="default" w:ascii="Verdana" w:hAnsi="Verdana" w:cs="Verdana"/>
      <w:b/>
      <w:bCs/>
      <w:color w:val="333333"/>
      <w:sz w:val="27"/>
      <w:szCs w:val="27"/>
      <w:u w:val="none"/>
    </w:rPr>
  </w:style>
  <w:style w:type="character" w:customStyle="1" w:styleId="101">
    <w:name w:val="font171"/>
    <w:autoRedefine/>
    <w:qFormat/>
    <w:uiPriority w:val="0"/>
    <w:rPr>
      <w:rFonts w:hint="eastAsia" w:ascii="宋体" w:hAnsi="宋体" w:eastAsia="宋体" w:cs="宋体"/>
      <w:color w:val="646464"/>
      <w:sz w:val="18"/>
      <w:szCs w:val="18"/>
      <w:u w:val="none"/>
    </w:rPr>
  </w:style>
  <w:style w:type="character" w:customStyle="1" w:styleId="102">
    <w:name w:val="hover7"/>
    <w:autoRedefine/>
    <w:qFormat/>
    <w:uiPriority w:val="0"/>
    <w:rPr>
      <w:color w:val="315EFB"/>
    </w:rPr>
  </w:style>
  <w:style w:type="paragraph" w:customStyle="1" w:styleId="103">
    <w:name w:val="列表2"/>
    <w:basedOn w:val="1"/>
    <w:next w:val="1"/>
    <w:autoRedefine/>
    <w:qFormat/>
    <w:uiPriority w:val="0"/>
    <w:pPr>
      <w:numPr>
        <w:ilvl w:val="0"/>
        <w:numId w:val="5"/>
      </w:numPr>
      <w:spacing w:line="200" w:lineRule="atLeast"/>
    </w:pPr>
    <w:rPr>
      <w:rFonts w:eastAsia="仿宋"/>
      <w:sz w:val="28"/>
    </w:rPr>
  </w:style>
  <w:style w:type="paragraph" w:customStyle="1" w:styleId="104">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5">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6">
    <w:name w:val="Char"/>
    <w:basedOn w:val="1"/>
    <w:next w:val="1"/>
    <w:autoRedefine/>
    <w:qFormat/>
    <w:uiPriority w:val="0"/>
    <w:pPr>
      <w:widowControl/>
      <w:spacing w:line="360" w:lineRule="auto"/>
      <w:jc w:val="left"/>
    </w:pPr>
    <w:rPr>
      <w:kern w:val="0"/>
      <w:szCs w:val="20"/>
      <w:lang w:eastAsia="en-US"/>
    </w:rPr>
  </w:style>
  <w:style w:type="paragraph" w:customStyle="1" w:styleId="107">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8">
    <w:name w:val=" Char Char Char Char"/>
    <w:basedOn w:val="1"/>
    <w:autoRedefine/>
    <w:qFormat/>
    <w:uiPriority w:val="0"/>
    <w:rPr>
      <w:rFonts w:ascii="Tahoma" w:hAnsi="Tahoma"/>
      <w:sz w:val="24"/>
      <w:szCs w:val="20"/>
    </w:rPr>
  </w:style>
  <w:style w:type="paragraph" w:customStyle="1" w:styleId="109">
    <w:name w:val="_Style 4"/>
    <w:basedOn w:val="1"/>
    <w:autoRedefine/>
    <w:qFormat/>
    <w:uiPriority w:val="34"/>
    <w:pPr>
      <w:adjustRightInd w:val="0"/>
      <w:ind w:firstLine="420" w:firstLineChars="200"/>
      <w:jc w:val="left"/>
      <w:textAlignment w:val="baseline"/>
    </w:pPr>
    <w:rPr>
      <w:kern w:val="0"/>
      <w:szCs w:val="20"/>
    </w:rPr>
  </w:style>
  <w:style w:type="paragraph" w:customStyle="1" w:styleId="110">
    <w:name w:val="列出段落2"/>
    <w:basedOn w:val="1"/>
    <w:autoRedefine/>
    <w:qFormat/>
    <w:uiPriority w:val="0"/>
    <w:pPr>
      <w:ind w:firstLine="420" w:firstLineChars="200"/>
    </w:pPr>
    <w:rPr>
      <w:rFonts w:ascii="Calibri" w:hAnsi="Calibri"/>
      <w:szCs w:val="22"/>
    </w:rPr>
  </w:style>
  <w:style w:type="paragraph" w:customStyle="1" w:styleId="111">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2">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3">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Table Paragraph"/>
    <w:basedOn w:val="1"/>
    <w:autoRedefine/>
    <w:qFormat/>
    <w:uiPriority w:val="1"/>
    <w:rPr>
      <w:rFonts w:ascii="宋体" w:hAnsi="宋体" w:eastAsia="宋体" w:cs="宋体"/>
      <w:lang w:val="zh-CN" w:eastAsia="zh-CN" w:bidi="zh-CN"/>
    </w:rPr>
  </w:style>
  <w:style w:type="paragraph" w:customStyle="1" w:styleId="115">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列出段落1"/>
    <w:basedOn w:val="1"/>
    <w:autoRedefine/>
    <w:qFormat/>
    <w:uiPriority w:val="34"/>
    <w:pPr>
      <w:ind w:firstLine="420" w:firstLineChars="200"/>
    </w:pPr>
  </w:style>
  <w:style w:type="paragraph" w:customStyle="1" w:styleId="117">
    <w:name w:val="Char Char Char Char Char Char Char1 Char"/>
    <w:basedOn w:val="1"/>
    <w:autoRedefine/>
    <w:qFormat/>
    <w:uiPriority w:val="0"/>
    <w:rPr>
      <w:rFonts w:ascii="Tahoma" w:hAnsi="Tahoma"/>
      <w:sz w:val="24"/>
      <w:szCs w:val="20"/>
    </w:rPr>
  </w:style>
  <w:style w:type="paragraph" w:styleId="118">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9">
    <w:name w:val="List Paragraph2"/>
    <w:basedOn w:val="1"/>
    <w:autoRedefine/>
    <w:qFormat/>
    <w:uiPriority w:val="0"/>
    <w:pPr>
      <w:spacing w:line="360" w:lineRule="auto"/>
      <w:ind w:firstLine="420"/>
    </w:pPr>
    <w:rPr>
      <w:color w:val="000000"/>
      <w:sz w:val="24"/>
      <w:szCs w:val="21"/>
    </w:rPr>
  </w:style>
  <w:style w:type="paragraph" w:customStyle="1" w:styleId="120">
    <w:name w:val="（无样式）"/>
    <w:basedOn w:val="1"/>
    <w:autoRedefine/>
    <w:qFormat/>
    <w:uiPriority w:val="0"/>
    <w:pPr>
      <w:widowControl/>
      <w:numPr>
        <w:ilvl w:val="0"/>
        <w:numId w:val="7"/>
      </w:numPr>
      <w:spacing w:line="360" w:lineRule="auto"/>
      <w:ind w:firstLine="0"/>
    </w:pPr>
    <w:rPr>
      <w:sz w:val="24"/>
      <w:szCs w:val="20"/>
    </w:rPr>
  </w:style>
  <w:style w:type="paragraph" w:customStyle="1" w:styleId="121">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2">
    <w:name w:val="标题3-副本"/>
    <w:basedOn w:val="29"/>
    <w:autoRedefine/>
    <w:qFormat/>
    <w:uiPriority w:val="0"/>
    <w:pPr>
      <w:numPr>
        <w:ilvl w:val="0"/>
        <w:numId w:val="0"/>
      </w:numPr>
      <w:ind w:left="840"/>
    </w:pPr>
  </w:style>
  <w:style w:type="paragraph" w:customStyle="1" w:styleId="123">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4">
    <w:name w:val="_Style 2"/>
    <w:basedOn w:val="1"/>
    <w:autoRedefine/>
    <w:qFormat/>
    <w:uiPriority w:val="0"/>
  </w:style>
  <w:style w:type="paragraph" w:customStyle="1" w:styleId="125">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7">
    <w:name w:val=" Char"/>
    <w:basedOn w:val="1"/>
    <w:autoRedefine/>
    <w:qFormat/>
    <w:uiPriority w:val="0"/>
  </w:style>
  <w:style w:type="paragraph" w:customStyle="1" w:styleId="128">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9">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1">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2">
    <w:name w:val="num"/>
    <w:basedOn w:val="39"/>
    <w:autoRedefine/>
    <w:qFormat/>
    <w:uiPriority w:val="0"/>
    <w:rPr>
      <w:b/>
      <w:bCs/>
      <w:color w:val="FF7800"/>
    </w:rPr>
  </w:style>
  <w:style w:type="character" w:customStyle="1" w:styleId="133">
    <w:name w:val="a-desc"/>
    <w:basedOn w:val="39"/>
    <w:autoRedefine/>
    <w:qFormat/>
    <w:uiPriority w:val="0"/>
    <w:rPr>
      <w:color w:val="315EFB"/>
    </w:rPr>
  </w:style>
  <w:style w:type="character" w:customStyle="1" w:styleId="134">
    <w:name w:val="bg"/>
    <w:basedOn w:val="39"/>
    <w:autoRedefine/>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autoRedefine/>
    <w:qFormat/>
    <w:uiPriority w:val="0"/>
  </w:style>
  <w:style w:type="character" w:customStyle="1" w:styleId="138">
    <w:name w:val="del-btn"/>
    <w:basedOn w:val="39"/>
    <w:autoRedefine/>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autoRedefine/>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17452</Words>
  <Characters>18597</Characters>
  <Lines>358</Lines>
  <Paragraphs>100</Paragraphs>
  <TotalTime>7</TotalTime>
  <ScaleCrop>false</ScaleCrop>
  <LinksUpToDate>false</LinksUpToDate>
  <CharactersWithSpaces>19854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2025-05-07T08:47:00Z</cp:lastPrinted>
  <dcterms:modified xsi:type="dcterms:W3CDTF">2025-10-29T01:53:33Z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07311383E66246799E5F68329811B32F_13</vt:lpwstr>
  </property>
  <property fmtid="{D5CDD505-2E9C-101B-9397-08002B2CF9AE}" pid="4" name="KSOTemplateDocerSaveRecord">
    <vt:lpwstr>eyJoZGlkIjoiZmQ5MGI3YTdkMjVkZTZjM2ZjZTQ5YjMxYTJjZjRlOWEiLCJ1c2VySWQiOiIzNjE4MjQ5In0=</vt:lpwstr>
  </property>
</Properties>
</file>